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>
      <w:pPr>
        <w:pStyle w:val="Title"/>
      </w:pPr>
      <w:r>
        <w:rPr>
          <w:rFonts w:ascii="Calibri" w:hAnsi="Calibri" w:eastAsia="Microsoft YaHei"/>
        </w:rPr>
        <w:t>市民请集合 AI 第一期方案汇总</w:t>
      </w:r>
    </w:p>
    <w:p>
      <w:pPr>
        <w:pStyle w:val="Subtitle"/>
      </w:pPr>
      <w:r>
        <w:rPr>
          <w:rFonts w:ascii="Calibri" w:hAnsi="Calibri" w:eastAsia="Microsoft YaHei"/>
        </w:rPr>
        <w:t>基于当前 smqjh-agent 系统、第一期业务需求及 4 个 ChatGPT Pro 账号预算整理</w:t>
      </w:r>
    </w:p>
    <w:p>
      <w:pPr>
        <w:spacing w:before="0" w:after="40" w:line="264" w:lineRule="auto"/>
      </w:pPr>
      <w:r>
        <w:rPr>
          <w:rFonts w:ascii="Calibri" w:hAnsi="Calibri" w:eastAsia="Microsoft YaHei"/>
          <w:b/>
        </w:rPr>
        <w:t>版本日期：</w:t>
      </w:r>
      <w:r>
        <w:rPr>
          <w:rFonts w:ascii="Calibri" w:hAnsi="Calibri" w:eastAsia="Microsoft YaHei"/>
        </w:rPr>
        <w:t>2026-06-30</w:t>
      </w:r>
    </w:p>
    <w:p>
      <w:pPr>
        <w:spacing w:before="0" w:after="40" w:line="264" w:lineRule="auto"/>
      </w:pPr>
      <w:r>
        <w:rPr>
          <w:rFonts w:ascii="Calibri" w:hAnsi="Calibri" w:eastAsia="Microsoft YaHei"/>
          <w:b/>
        </w:rPr>
        <w:t>一期预算口径：</w:t>
      </w:r>
      <w:r>
        <w:rPr>
          <w:rFonts w:ascii="Calibri" w:hAnsi="Calibri" w:eastAsia="Microsoft YaHei"/>
        </w:rPr>
        <w:t>4 个 ChatGPT Pro 账号，USD 200/账号/月，合计 USD 800/月；采购与发票口径同步确认</w:t>
      </w:r>
    </w:p>
    <w:p>
      <w:pPr>
        <w:spacing w:before="0" w:after="40" w:line="264" w:lineRule="auto"/>
      </w:pPr>
      <w:r>
        <w:rPr>
          <w:rFonts w:ascii="Calibri" w:hAnsi="Calibri" w:eastAsia="Microsoft YaHei"/>
          <w:b/>
        </w:rPr>
        <w:t>资料依据：</w:t>
      </w:r>
      <w:r>
        <w:rPr>
          <w:rFonts w:ascii="Calibri" w:hAnsi="Calibri" w:eastAsia="Microsoft YaHei"/>
        </w:rPr>
        <w:t>《市民请集合AI第一期需求.docx》、当前 smqjh-agent 代码与设计复盘文档、OpenAI 官方订阅说明（2026-06-30 查询）</w:t>
      </w:r>
    </w:p>
    <w:p>
      <w:pPr>
        <w:pBdr>
          <w:bottom w:val="single" w:sz="8" w:space="6" w:color="D0D5DD"/>
        </w:pBdr>
      </w:pPr>
    </w:p>
    <w:tbl>
      <w:tblPr>
        <w:tblStyle w:val="TableGrid"/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6" w:space="0" w:color="D0D5DD"/>
          <w:left w:val="single" w:sz="6" w:space="0" w:color="D0D5DD"/>
          <w:bottom w:val="single" w:sz="6" w:space="0" w:color="D0D5DD"/>
          <w:right w:val="single" w:sz="6" w:space="0" w:color="D0D5DD"/>
          <w:insideH w:val="single" w:sz="6" w:space="0" w:color="D0D5DD"/>
          <w:insideV w:val="single" w:sz="6" w:space="0" w:color="D0D5DD"/>
        </w:tblBorders>
      </w:tblPr>
      <w:tblGrid>
        <w:gridCol w:w="9360"/>
      </w:tblGrid>
      <w:tr>
        <w:tc>
          <w:tcPr>
            <w:tcW w:type="dxa" w:w="93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EEF5FA"/>
          </w:tcPr>
          <w:p>
            <w:pPr>
              <w:spacing w:after="80"/>
            </w:pPr>
            <w:r>
              <w:rPr>
                <w:rFonts w:ascii="Calibri" w:hAnsi="Calibri" w:eastAsia="Microsoft YaHei"/>
                <w:b/>
                <w:color w:val="123B5D"/>
              </w:rPr>
              <w:t>结论先行</w:t>
            </w:r>
          </w:p>
          <w:p>
            <w:pPr>
              <w:spacing w:after="0"/>
            </w:pPr>
            <w:r>
              <w:rPr>
                <w:rFonts w:ascii="Calibri" w:hAnsi="Calibri" w:eastAsia="Microsoft YaHei"/>
              </w:rPr>
              <w:t>第一期建议定位为“业务运营 AI 助手试点”：先用当前已具备的 Agent/MCP/只读数据库能力，把查询、报价、对账、充值文件整理等高频人工工作做成可追踪、可导出的辅助流程；ChatGPT 账号用于人员日常方案、表格、文档和复杂问题处理，系统侧继续使用受控 MCP 工具承接内部数据能力。整体不建议一开始承诺全自动写入业务系统，所有涉及金额、上下架、充值、开票和结算确认的动作都保留人工复核。</w:t>
            </w:r>
          </w:p>
        </w:tc>
      </w:tr>
    </w:tbl>
    <w:p/>
    <w:p>
      <w:pPr>
        <w:pStyle w:val="Heading1"/>
      </w:pPr>
      <w:r>
        <w:rPr>
          <w:rFonts w:ascii="Calibri" w:hAnsi="Calibri" w:eastAsia="Microsoft YaHei"/>
        </w:rPr>
        <w:t>1. 解决什么问题</w:t>
      </w:r>
    </w:p>
    <w:p>
      <w:r>
        <w:rPr>
          <w:rFonts w:ascii="Calibri" w:hAnsi="Calibri" w:eastAsia="Microsoft YaHei"/>
          <w:i w:val="0"/>
        </w:rPr>
        <w:t>第一期主要解决运营、商务和财务在报价、商品、充值、对账、查询中的重复性整理和跨系统核对问题。当前痛点不是单点功能缺失，而是信息分散在报价单、供应商资料、后台系统、订单/积分/商品表和人工沟通中，导致每次都要重新查、重新改表、重新核口径。</w:t>
      </w:r>
    </w:p>
    <w:tbl>
      <w:tblPr>
        <w:tblStyle w:val="TableGrid"/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6" w:space="0" w:color="D0D5DD"/>
          <w:left w:val="single" w:sz="6" w:space="0" w:color="D0D5DD"/>
          <w:bottom w:val="single" w:sz="6" w:space="0" w:color="D0D5DD"/>
          <w:right w:val="single" w:sz="6" w:space="0" w:color="D0D5DD"/>
          <w:insideH w:val="single" w:sz="6" w:space="0" w:color="D0D5DD"/>
          <w:insideV w:val="single" w:sz="6" w:space="0" w:color="D0D5DD"/>
        </w:tblBorders>
      </w:tblPr>
      <w:tblGrid>
        <w:gridCol w:w="1500"/>
        <w:gridCol w:w="3900"/>
        <w:gridCol w:w="3960"/>
      </w:tblGrid>
      <w:tr>
        <w:tc>
          <w:tcPr>
            <w:tcW w:type="dxa" w:w="15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123B5D"/>
          </w:tcPr>
          <w:p>
            <w:pPr>
              <w:spacing w:after="0"/>
              <w:jc w:val="center"/>
            </w:pPr>
            <w:r>
              <w:rPr>
                <w:rFonts w:ascii="Calibri" w:hAnsi="Calibri" w:eastAsia="Microsoft YaHei"/>
                <w:b/>
                <w:color w:val="FFFFFF"/>
              </w:rPr>
              <w:t>问题类型</w:t>
            </w:r>
          </w:p>
        </w:tc>
        <w:tc>
          <w:tcPr>
            <w:tcW w:type="dxa" w:w="39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123B5D"/>
          </w:tcPr>
          <w:p>
            <w:pPr>
              <w:spacing w:after="0"/>
              <w:jc w:val="center"/>
            </w:pPr>
            <w:r>
              <w:rPr>
                <w:rFonts w:ascii="Calibri" w:hAnsi="Calibri" w:eastAsia="Microsoft YaHei"/>
                <w:b/>
                <w:color w:val="FFFFFF"/>
              </w:rPr>
              <w:t>当前表现</w:t>
            </w:r>
          </w:p>
        </w:tc>
        <w:tc>
          <w:tcPr>
            <w:tcW w:type="dxa" w:w="39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123B5D"/>
          </w:tcPr>
          <w:p>
            <w:pPr>
              <w:spacing w:after="0"/>
              <w:jc w:val="center"/>
            </w:pPr>
            <w:r>
              <w:rPr>
                <w:rFonts w:ascii="Calibri" w:hAnsi="Calibri" w:eastAsia="Microsoft YaHei"/>
                <w:b/>
                <w:color w:val="FFFFFF"/>
              </w:rPr>
              <w:t>AI 一期要解决的点</w:t>
            </w:r>
          </w:p>
        </w:tc>
      </w:tr>
      <w:tr>
        <w:tc>
          <w:tcPr>
            <w:tcW w:type="dxa" w:w="15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报价单</w:t>
            </w:r>
          </w:p>
        </w:tc>
        <w:tc>
          <w:tcPr>
            <w:tcW w:type="dxa" w:w="39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新企业签约时需要基于星闪豹商品、京东旗舰店原价和企业反馈反复调整报价。</w:t>
            </w:r>
          </w:p>
        </w:tc>
        <w:tc>
          <w:tcPr>
            <w:tcW w:type="dxa" w:w="39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生成固定格式报价单，辅助补齐商品、规格、价格依据，支持对方新增商品后的快速报价和汇总下载。</w:t>
            </w:r>
          </w:p>
        </w:tc>
      </w:tr>
      <w:tr>
        <w:tc>
          <w:tcPr>
            <w:tcW w:type="dxa" w:w="15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商品上下架</w:t>
            </w:r>
          </w:p>
        </w:tc>
        <w:tc>
          <w:tcPr>
            <w:tcW w:type="dxa" w:w="39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最终报价单确定后，需要在海博和市民请集合系统做批量或零散上下架。</w:t>
            </w:r>
          </w:p>
        </w:tc>
        <w:tc>
          <w:tcPr>
            <w:tcW w:type="dxa" w:w="39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解析报价单，生成待上架/下架清单、字段校验和执行建议；高风险写入动作人工确认后再执行。</w:t>
            </w:r>
          </w:p>
        </w:tc>
      </w:tr>
      <w:tr>
        <w:tc>
          <w:tcPr>
            <w:tcW w:type="dxa" w:w="15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商品名称对应</w:t>
            </w:r>
          </w:p>
        </w:tc>
        <w:tc>
          <w:tcPr>
            <w:tcW w:type="dxa" w:w="39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平台商品名、供应商开票名称和采购单名称不一致，建采购单耗时。</w:t>
            </w:r>
          </w:p>
        </w:tc>
        <w:tc>
          <w:tcPr>
            <w:tcW w:type="dxa" w:w="39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建立名称/规格/编码匹配表，上传供应商开票图片或清单后给出候选匹配，人工确认后沉淀映射。</w:t>
            </w:r>
          </w:p>
        </w:tc>
      </w:tr>
      <w:tr>
        <w:tc>
          <w:tcPr>
            <w:tcW w:type="dxa" w:w="15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积分充值</w:t>
            </w:r>
          </w:p>
        </w:tc>
        <w:tc>
          <w:tcPr>
            <w:tcW w:type="dxa" w:w="39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企业给的积分导入名单格式不统一，导入后还要输出成功证明，错误反馈需要排查。</w:t>
            </w:r>
          </w:p>
        </w:tc>
        <w:tc>
          <w:tcPr>
            <w:tcW w:type="dxa" w:w="39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自动清洗为系统导入格式，按规则检查风险，生成导入文件和成功反馈文件。</w:t>
            </w:r>
          </w:p>
        </w:tc>
      </w:tr>
      <w:tr>
        <w:tc>
          <w:tcPr>
            <w:tcW w:type="dxa" w:w="15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对账结算</w:t>
            </w:r>
          </w:p>
        </w:tc>
        <w:tc>
          <w:tcPr>
            <w:tcW w:type="dxa" w:w="39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积分过期后需要多方核对、生成对账单、开票明细、盖章和付款跟踪。</w:t>
            </w:r>
          </w:p>
        </w:tc>
        <w:tc>
          <w:tcPr>
            <w:tcW w:type="dxa" w:w="39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打包对账单和核对结果，计算开票金额/税额关系，标记异常差异，形成可给企业确认的文件包。</w:t>
            </w:r>
          </w:p>
        </w:tc>
      </w:tr>
      <w:tr>
        <w:tc>
          <w:tcPr>
            <w:tcW w:type="dxa" w:w="15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数据查询</w:t>
            </w:r>
          </w:p>
        </w:tc>
        <w:tc>
          <w:tcPr>
            <w:tcW w:type="dxa" w:w="39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运营需要按企业、时间、状态查询积分充值/消耗/可用、正常订单和售后订单。</w:t>
            </w:r>
          </w:p>
        </w:tc>
        <w:tc>
          <w:tcPr>
            <w:tcW w:type="dxa" w:w="39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管理员用自然语言查询，系统自动查只读数据库并输出表格、摘要和依据。</w:t>
            </w:r>
          </w:p>
        </w:tc>
      </w:tr>
    </w:tbl>
    <w:p/>
    <w:p>
      <w:r>
        <w:rPr>
          <w:rFonts w:ascii="Calibri" w:hAnsi="Calibri" w:eastAsia="Microsoft YaHei"/>
          <w:i w:val="0"/>
        </w:rPr>
        <w:t>从系统建设角度看，第一期还要解决两个底层问题：一是把业务查询从“人找字段、人写 SQL、人导表”改成“Agent 调受控工具”；二是把 AI 的输出从长文本变成表格、文件、待确认项和可审计日志。</w:t>
      </w:r>
    </w:p>
    <w:p>
      <w:pPr>
        <w:pStyle w:val="Heading1"/>
      </w:pPr>
      <w:r>
        <w:rPr>
          <w:rFonts w:ascii="Calibri" w:hAnsi="Calibri" w:eastAsia="Microsoft YaHei"/>
        </w:rPr>
        <w:t>2. 能够解决到什么程度</w:t>
      </w:r>
    </w:p>
    <w:p>
      <w:r>
        <w:rPr>
          <w:rFonts w:ascii="Calibri" w:hAnsi="Calibri" w:eastAsia="Microsoft YaHei"/>
          <w:i w:val="0"/>
        </w:rPr>
        <w:t>当前 smqjh-agent 已有可用底座：Python + LangGraph Web Agent、Java MCP Server、DeepSeek 工具规划、业务 schema、只读数据库查询、商品/订单/月结工具、表格渲染和 CSV 下载。基于这个基础，一期能做到“辅助闭环 + 人工确认”，不宜直接承诺无人值守的全自动业务变更。</w:t>
      </w:r>
    </w:p>
    <w:tbl>
      <w:tblPr>
        <w:tblStyle w:val="TableGrid"/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6" w:space="0" w:color="D0D5DD"/>
          <w:left w:val="single" w:sz="6" w:space="0" w:color="D0D5DD"/>
          <w:bottom w:val="single" w:sz="6" w:space="0" w:color="D0D5DD"/>
          <w:right w:val="single" w:sz="6" w:space="0" w:color="D0D5DD"/>
          <w:insideH w:val="single" w:sz="6" w:space="0" w:color="D0D5DD"/>
          <w:insideV w:val="single" w:sz="6" w:space="0" w:color="D0D5DD"/>
        </w:tblBorders>
      </w:tblPr>
      <w:tblGrid>
        <w:gridCol w:w="1300"/>
        <w:gridCol w:w="3450"/>
        <w:gridCol w:w="1850"/>
        <w:gridCol w:w="2760"/>
      </w:tblGrid>
      <w:tr>
        <w:tc>
          <w:tcPr>
            <w:tcW w:type="dxa" w:w="13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123B5D"/>
          </w:tcPr>
          <w:p>
            <w:pPr>
              <w:spacing w:after="0"/>
              <w:jc w:val="center"/>
            </w:pPr>
            <w:r>
              <w:rPr>
                <w:rFonts w:ascii="Calibri" w:hAnsi="Calibri" w:eastAsia="Microsoft YaHei"/>
                <w:b/>
                <w:color w:val="FFFFFF"/>
              </w:rPr>
              <w:t>场景</w:t>
            </w:r>
          </w:p>
        </w:tc>
        <w:tc>
          <w:tcPr>
            <w:tcW w:type="dxa" w:w="3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123B5D"/>
          </w:tcPr>
          <w:p>
            <w:pPr>
              <w:spacing w:after="0"/>
              <w:jc w:val="center"/>
            </w:pPr>
            <w:r>
              <w:rPr>
                <w:rFonts w:ascii="Calibri" w:hAnsi="Calibri" w:eastAsia="Microsoft YaHei"/>
                <w:b/>
                <w:color w:val="FFFFFF"/>
              </w:rPr>
              <w:t>一期可交付程度</w:t>
            </w:r>
          </w:p>
        </w:tc>
        <w:tc>
          <w:tcPr>
            <w:tcW w:type="dxa" w:w="18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123B5D"/>
          </w:tcPr>
          <w:p>
            <w:pPr>
              <w:spacing w:after="0"/>
              <w:jc w:val="center"/>
            </w:pPr>
            <w:r>
              <w:rPr>
                <w:rFonts w:ascii="Calibri" w:hAnsi="Calibri" w:eastAsia="Microsoft YaHei"/>
                <w:b/>
                <w:color w:val="FFFFFF"/>
              </w:rPr>
              <w:t>预计自动化/减负</w:t>
            </w:r>
          </w:p>
        </w:tc>
        <w:tc>
          <w:tcPr>
            <w:tcW w:type="dxa" w:w="27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123B5D"/>
          </w:tcPr>
          <w:p>
            <w:pPr>
              <w:spacing w:after="0"/>
              <w:jc w:val="center"/>
            </w:pPr>
            <w:r>
              <w:rPr>
                <w:rFonts w:ascii="Calibri" w:hAnsi="Calibri" w:eastAsia="Microsoft YaHei"/>
                <w:b/>
                <w:color w:val="FFFFFF"/>
              </w:rPr>
              <w:t>需要人工确认的边界</w:t>
            </w:r>
          </w:p>
        </w:tc>
      </w:tr>
      <w:tr>
        <w:tc>
          <w:tcPr>
            <w:tcW w:type="dxa" w:w="13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数据查询</w:t>
            </w:r>
          </w:p>
        </w:tc>
        <w:tc>
          <w:tcPr>
            <w:tcW w:type="dxa" w:w="3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自然语言查询商品、订单、会员、积分、月结相关数据，并输出表格与依据。</w:t>
            </w:r>
          </w:p>
        </w:tc>
        <w:tc>
          <w:tcPr>
            <w:tcW w:type="dxa" w:w="18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高，常规查询约 80%-90% 可自动完成。</w:t>
            </w:r>
          </w:p>
        </w:tc>
        <w:tc>
          <w:tcPr>
            <w:tcW w:type="dxa" w:w="27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字段口径不明确、数据异常、权限不足时确认。</w:t>
            </w:r>
          </w:p>
        </w:tc>
      </w:tr>
      <w:tr>
        <w:tc>
          <w:tcPr>
            <w:tcW w:type="dxa" w:w="13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报价单</w:t>
            </w:r>
          </w:p>
        </w:tc>
        <w:tc>
          <w:tcPr>
            <w:tcW w:type="dxa" w:w="3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生成统一报价单模板，辅助商品匹配、价格引用、对方新增品报价和汇总下载。</w:t>
            </w:r>
          </w:p>
        </w:tc>
        <w:tc>
          <w:tcPr>
            <w:tcW w:type="dxa" w:w="18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中高，格式整理和候选匹配约 60%-70% 可自动化。</w:t>
            </w:r>
          </w:p>
        </w:tc>
        <w:tc>
          <w:tcPr>
            <w:tcW w:type="dxa" w:w="27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最终报价、利润率、外部平台最新价必须人工确认。</w:t>
            </w:r>
          </w:p>
        </w:tc>
      </w:tr>
      <w:tr>
        <w:tc>
          <w:tcPr>
            <w:tcW w:type="dxa" w:w="13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对账结算</w:t>
            </w:r>
          </w:p>
        </w:tc>
        <w:tc>
          <w:tcPr>
            <w:tcW w:type="dxa" w:w="3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按企业和月份生成导出计划、核对规则、差异清单，进一步可生成对账文件包。</w:t>
            </w:r>
          </w:p>
        </w:tc>
        <w:tc>
          <w:tcPr>
            <w:tcW w:type="dxa" w:w="18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中高，模板确认后约 70%-80% 工作量可减少。</w:t>
            </w:r>
          </w:p>
        </w:tc>
        <w:tc>
          <w:tcPr>
            <w:tcW w:type="dxa" w:w="27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差异、税率、开票金额、盖章和付款状态确认。</w:t>
            </w:r>
          </w:p>
        </w:tc>
      </w:tr>
      <w:tr>
        <w:tc>
          <w:tcPr>
            <w:tcW w:type="dxa" w:w="13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积分充值</w:t>
            </w:r>
          </w:p>
        </w:tc>
        <w:tc>
          <w:tcPr>
            <w:tcW w:type="dxa" w:w="3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清洗企业名单，校验字段、金额、手机号和重复项，生成导入格式和反馈文件。</w:t>
            </w:r>
          </w:p>
        </w:tc>
        <w:tc>
          <w:tcPr>
            <w:tcW w:type="dxa" w:w="18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中，约 50%-70% 的整理排错可自动化。</w:t>
            </w:r>
          </w:p>
        </w:tc>
        <w:tc>
          <w:tcPr>
            <w:tcW w:type="dxa" w:w="27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真实导入、批量发放、金额异常必须确认。</w:t>
            </w:r>
          </w:p>
        </w:tc>
      </w:tr>
      <w:tr>
        <w:tc>
          <w:tcPr>
            <w:tcW w:type="dxa" w:w="13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商品上下架</w:t>
            </w:r>
          </w:p>
        </w:tc>
        <w:tc>
          <w:tcPr>
            <w:tcW w:type="dxa" w:w="3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从报价单生成上下架清单和字段校验，后续对接接口后进入确认执行。</w:t>
            </w:r>
          </w:p>
        </w:tc>
        <w:tc>
          <w:tcPr>
            <w:tcW w:type="dxa" w:w="18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中，前处理约 50%-60% 可自动化。</w:t>
            </w:r>
          </w:p>
        </w:tc>
        <w:tc>
          <w:tcPr>
            <w:tcW w:type="dxa" w:w="27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自动写入海博/市民请集合系统前必须审批。</w:t>
            </w:r>
          </w:p>
        </w:tc>
      </w:tr>
      <w:tr>
        <w:tc>
          <w:tcPr>
            <w:tcW w:type="dxa" w:w="13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名称/发票匹配</w:t>
            </w:r>
          </w:p>
        </w:tc>
        <w:tc>
          <w:tcPr>
            <w:tcW w:type="dxa" w:w="3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建立供应商名称、平台商品、SKU、编码映射候选，支持图片/OCR 后续接入。</w:t>
            </w:r>
          </w:p>
        </w:tc>
        <w:tc>
          <w:tcPr>
            <w:tcW w:type="dxa" w:w="18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中，样本积累前约 50%-60%；字典完善后可提升。</w:t>
            </w:r>
          </w:p>
        </w:tc>
        <w:tc>
          <w:tcPr>
            <w:tcW w:type="dxa" w:w="27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同规格多候选、开票名称不规范、编码不唯一。</w:t>
            </w:r>
          </w:p>
        </w:tc>
      </w:tr>
    </w:tbl>
    <w:p/>
    <w:tbl>
      <w:tblPr>
        <w:tblStyle w:val="TableGrid"/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6" w:space="0" w:color="D0D5DD"/>
          <w:left w:val="single" w:sz="6" w:space="0" w:color="D0D5DD"/>
          <w:bottom w:val="single" w:sz="6" w:space="0" w:color="D0D5DD"/>
          <w:right w:val="single" w:sz="6" w:space="0" w:color="D0D5DD"/>
          <w:insideH w:val="single" w:sz="6" w:space="0" w:color="D0D5DD"/>
          <w:insideV w:val="single" w:sz="6" w:space="0" w:color="D0D5DD"/>
        </w:tblBorders>
      </w:tblPr>
      <w:tblGrid>
        <w:gridCol w:w="9360"/>
      </w:tblGrid>
      <w:tr>
        <w:tc>
          <w:tcPr>
            <w:tcW w:type="dxa" w:w="93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FFF8E8"/>
          </w:tcPr>
          <w:p>
            <w:pPr>
              <w:spacing w:after="80"/>
            </w:pPr>
            <w:r>
              <w:rPr>
                <w:rFonts w:ascii="Calibri" w:hAnsi="Calibri" w:eastAsia="Microsoft YaHei"/>
                <w:b/>
                <w:color w:val="123B5D"/>
              </w:rPr>
              <w:t>一期能力边界</w:t>
            </w:r>
          </w:p>
          <w:p>
            <w:pPr>
              <w:spacing w:after="0"/>
            </w:pPr>
            <w:r>
              <w:rPr>
                <w:rFonts w:ascii="Calibri" w:hAnsi="Calibri" w:eastAsia="Microsoft YaHei"/>
              </w:rPr>
              <w:t>AI 可以先把“查、算、整、比、导、提示风险”做起来；凡是会改变业务系统状态的动作，例如上架、下架、充值导入、发券、结算确认、开票提交，都必须保留人工确认和日志记录。</w:t>
            </w:r>
          </w:p>
        </w:tc>
      </w:tr>
    </w:tbl>
    <w:p/>
    <w:p>
      <w:pPr>
        <w:pStyle w:val="Heading1"/>
      </w:pPr>
      <w:r>
        <w:rPr>
          <w:rFonts w:ascii="Calibri" w:hAnsi="Calibri" w:eastAsia="Microsoft YaHei"/>
        </w:rPr>
        <w:t>3. 大致时间周期</w:t>
      </w:r>
    </w:p>
    <w:p>
      <w:r>
        <w:rPr>
          <w:rFonts w:ascii="Calibri" w:hAnsi="Calibri" w:eastAsia="Microsoft YaHei"/>
          <w:i w:val="0"/>
        </w:rPr>
        <w:t>建议一期按 4-6 周推进：4 周形成可演示和小范围试用版本，6 周完成重点场景试运行。账号采购申请和发票确认不等待研发完成，采用同步推进。</w:t>
      </w:r>
    </w:p>
    <w:tbl>
      <w:tblPr>
        <w:tblStyle w:val="TableGrid"/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6" w:space="0" w:color="D0D5DD"/>
          <w:left w:val="single" w:sz="6" w:space="0" w:color="D0D5DD"/>
          <w:bottom w:val="single" w:sz="6" w:space="0" w:color="D0D5DD"/>
          <w:right w:val="single" w:sz="6" w:space="0" w:color="D0D5DD"/>
          <w:insideH w:val="single" w:sz="6" w:space="0" w:color="D0D5DD"/>
          <w:insideV w:val="single" w:sz="6" w:space="0" w:color="D0D5DD"/>
        </w:tblBorders>
      </w:tblPr>
      <w:tblGrid>
        <w:gridCol w:w="1450"/>
        <w:gridCol w:w="1200"/>
        <w:gridCol w:w="4300"/>
        <w:gridCol w:w="2410"/>
      </w:tblGrid>
      <w:tr>
        <w:tc>
          <w:tcPr>
            <w:tcW w:type="dxa" w:w="1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123B5D"/>
          </w:tcPr>
          <w:p>
            <w:pPr>
              <w:spacing w:after="0"/>
              <w:jc w:val="center"/>
            </w:pPr>
            <w:r>
              <w:rPr>
                <w:rFonts w:ascii="Calibri" w:hAnsi="Calibri" w:eastAsia="Microsoft YaHei"/>
                <w:b/>
                <w:color w:val="FFFFFF"/>
              </w:rPr>
              <w:t>阶段</w:t>
            </w:r>
          </w:p>
        </w:tc>
        <w:tc>
          <w:tcPr>
            <w:tcW w:type="dxa" w:w="12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123B5D"/>
          </w:tcPr>
          <w:p>
            <w:pPr>
              <w:spacing w:after="0"/>
              <w:jc w:val="center"/>
            </w:pPr>
            <w:r>
              <w:rPr>
                <w:rFonts w:ascii="Calibri" w:hAnsi="Calibri" w:eastAsia="Microsoft YaHei"/>
                <w:b/>
                <w:color w:val="FFFFFF"/>
              </w:rPr>
              <w:t>周期</w:t>
            </w:r>
          </w:p>
        </w:tc>
        <w:tc>
          <w:tcPr>
            <w:tcW w:type="dxa" w:w="43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123B5D"/>
          </w:tcPr>
          <w:p>
            <w:pPr>
              <w:spacing w:after="0"/>
              <w:jc w:val="center"/>
            </w:pPr>
            <w:r>
              <w:rPr>
                <w:rFonts w:ascii="Calibri" w:hAnsi="Calibri" w:eastAsia="Microsoft YaHei"/>
                <w:b/>
                <w:color w:val="FFFFFF"/>
              </w:rPr>
              <w:t>主要工作</w:t>
            </w:r>
          </w:p>
        </w:tc>
        <w:tc>
          <w:tcPr>
            <w:tcW w:type="dxa" w:w="241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123B5D"/>
          </w:tcPr>
          <w:p>
            <w:pPr>
              <w:spacing w:after="0"/>
              <w:jc w:val="center"/>
            </w:pPr>
            <w:r>
              <w:rPr>
                <w:rFonts w:ascii="Calibri" w:hAnsi="Calibri" w:eastAsia="Microsoft YaHei"/>
                <w:b/>
                <w:color w:val="FFFFFF"/>
              </w:rPr>
              <w:t>交付结果</w:t>
            </w:r>
          </w:p>
        </w:tc>
      </w:tr>
      <w:tr>
        <w:tc>
          <w:tcPr>
            <w:tcW w:type="dxa" w:w="1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启动与确认</w:t>
            </w:r>
          </w:p>
        </w:tc>
        <w:tc>
          <w:tcPr>
            <w:tcW w:type="dxa" w:w="12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第 1 周</w:t>
            </w:r>
          </w:p>
        </w:tc>
        <w:tc>
          <w:tcPr>
            <w:tcW w:type="dxa" w:w="43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确认报价单模板、对账模板、充值导入模板、上下架字段、企业样本和账号采购申请。</w:t>
            </w:r>
          </w:p>
        </w:tc>
        <w:tc>
          <w:tcPr>
            <w:tcW w:type="dxa" w:w="241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一期范围确认表、样表清单、账号申请单。</w:t>
            </w:r>
          </w:p>
        </w:tc>
      </w:tr>
      <w:tr>
        <w:tc>
          <w:tcPr>
            <w:tcW w:type="dxa" w:w="1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查询与报价 MVP</w:t>
            </w:r>
          </w:p>
        </w:tc>
        <w:tc>
          <w:tcPr>
            <w:tcW w:type="dxa" w:w="12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第 2 周</w:t>
            </w:r>
          </w:p>
        </w:tc>
        <w:tc>
          <w:tcPr>
            <w:tcW w:type="dxa" w:w="43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强化智能查询、商品/订单/积分表口径，完成报价单模板生成和新增品候选匹配。</w:t>
            </w:r>
          </w:p>
        </w:tc>
        <w:tc>
          <w:tcPr>
            <w:tcW w:type="dxa" w:w="241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自然语言查询演示、报价单生成样例。</w:t>
            </w:r>
          </w:p>
        </w:tc>
      </w:tr>
      <w:tr>
        <w:tc>
          <w:tcPr>
            <w:tcW w:type="dxa" w:w="1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对账与充值流程</w:t>
            </w:r>
          </w:p>
        </w:tc>
        <w:tc>
          <w:tcPr>
            <w:tcW w:type="dxa" w:w="12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第 3-4 周</w:t>
            </w:r>
          </w:p>
        </w:tc>
        <w:tc>
          <w:tcPr>
            <w:tcW w:type="dxa" w:w="43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打通月结企业、订单/积分/运费导出规则、充值文件清洗和风险提示。</w:t>
            </w:r>
          </w:p>
        </w:tc>
        <w:tc>
          <w:tcPr>
            <w:tcW w:type="dxa" w:w="241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对账文件包样例、充值导入前检查表。</w:t>
            </w:r>
          </w:p>
        </w:tc>
      </w:tr>
      <w:tr>
        <w:tc>
          <w:tcPr>
            <w:tcW w:type="dxa" w:w="1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上下架与名称匹配试点</w:t>
            </w:r>
          </w:p>
        </w:tc>
        <w:tc>
          <w:tcPr>
            <w:tcW w:type="dxa" w:w="12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第 5 周</w:t>
            </w:r>
          </w:p>
        </w:tc>
        <w:tc>
          <w:tcPr>
            <w:tcW w:type="dxa" w:w="43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根据报价单生成上下架清单，沉淀商品名、开票名、SKU 编码映射。</w:t>
            </w:r>
          </w:p>
        </w:tc>
        <w:tc>
          <w:tcPr>
            <w:tcW w:type="dxa" w:w="241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上下架待确认清单、名称匹配表。</w:t>
            </w:r>
          </w:p>
        </w:tc>
      </w:tr>
      <w:tr>
        <w:tc>
          <w:tcPr>
            <w:tcW w:type="dxa" w:w="1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试运行与培训</w:t>
            </w:r>
          </w:p>
        </w:tc>
        <w:tc>
          <w:tcPr>
            <w:tcW w:type="dxa" w:w="12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第 6 周</w:t>
            </w:r>
          </w:p>
        </w:tc>
        <w:tc>
          <w:tcPr>
            <w:tcW w:type="dxa" w:w="43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用真实业务样本试跑，修正提示词、口径、模板和人工确认流程。</w:t>
            </w:r>
          </w:p>
        </w:tc>
        <w:tc>
          <w:tcPr>
            <w:tcW w:type="dxa" w:w="241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试运行报告、使用说明、下一期清单。</w:t>
            </w:r>
          </w:p>
        </w:tc>
      </w:tr>
    </w:tbl>
    <w:p/>
    <w:p>
      <w:r>
        <w:rPr>
          <w:rFonts w:ascii="Calibri" w:hAnsi="Calibri" w:eastAsia="Microsoft YaHei"/>
          <w:i w:val="0"/>
        </w:rPr>
        <w:t>如果只做“账号采购 + 文档/表格辅助”可以更快，约 1 周即可启用；如果要把报价、对账、充值、上下架真正沉淀到当前系统里，建议按 4-6 周评估。</w:t>
      </w:r>
    </w:p>
    <w:p>
      <w:pPr>
        <w:pStyle w:val="Heading1"/>
      </w:pPr>
      <w:r>
        <w:rPr>
          <w:rFonts w:ascii="Calibri" w:hAnsi="Calibri" w:eastAsia="Microsoft YaHei"/>
        </w:rPr>
        <w:t>4. 费用的具体数量</w:t>
      </w:r>
    </w:p>
    <w:p>
      <w:r>
        <w:rPr>
          <w:rFonts w:ascii="Calibri" w:hAnsi="Calibri" w:eastAsia="Microsoft YaHei"/>
          <w:i w:val="0"/>
        </w:rPr>
        <w:t>本次费用按 ChatGPT Pro 账号采购口径测算：4 个账号，每个账号 USD 200/月，合计 USD 800/月。该口径对应一个月试点费用，不与其他订阅档位混合测算。</w:t>
      </w:r>
    </w:p>
    <w:tbl>
      <w:tblPr>
        <w:tblStyle w:val="TableGrid"/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6" w:space="0" w:color="D0D5DD"/>
          <w:left w:val="single" w:sz="6" w:space="0" w:color="D0D5DD"/>
          <w:bottom w:val="single" w:sz="6" w:space="0" w:color="D0D5DD"/>
          <w:right w:val="single" w:sz="6" w:space="0" w:color="D0D5DD"/>
          <w:insideH w:val="single" w:sz="6" w:space="0" w:color="D0D5DD"/>
          <w:insideV w:val="single" w:sz="6" w:space="0" w:color="D0D5DD"/>
        </w:tblBorders>
      </w:tblPr>
      <w:tblGrid>
        <w:gridCol w:w="2200"/>
        <w:gridCol w:w="2450"/>
        <w:gridCol w:w="1850"/>
        <w:gridCol w:w="2860"/>
      </w:tblGrid>
      <w:tr>
        <w:tc>
          <w:tcPr>
            <w:tcW w:type="dxa" w:w="22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123B5D"/>
          </w:tcPr>
          <w:p>
            <w:pPr>
              <w:spacing w:after="0"/>
              <w:jc w:val="center"/>
            </w:pPr>
            <w:r>
              <w:rPr>
                <w:rFonts w:ascii="Calibri" w:hAnsi="Calibri" w:eastAsia="Microsoft YaHei"/>
                <w:b/>
                <w:color w:val="FFFFFF"/>
              </w:rPr>
              <w:t>费用项</w:t>
            </w:r>
          </w:p>
        </w:tc>
        <w:tc>
          <w:tcPr>
            <w:tcW w:type="dxa" w:w="2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123B5D"/>
          </w:tcPr>
          <w:p>
            <w:pPr>
              <w:spacing w:after="0"/>
              <w:jc w:val="center"/>
            </w:pPr>
            <w:r>
              <w:rPr>
                <w:rFonts w:ascii="Calibri" w:hAnsi="Calibri" w:eastAsia="Microsoft YaHei"/>
                <w:b/>
                <w:color w:val="FFFFFF"/>
              </w:rPr>
              <w:t>数量/单价</w:t>
            </w:r>
          </w:p>
        </w:tc>
        <w:tc>
          <w:tcPr>
            <w:tcW w:type="dxa" w:w="18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123B5D"/>
          </w:tcPr>
          <w:p>
            <w:pPr>
              <w:spacing w:after="0"/>
              <w:jc w:val="center"/>
            </w:pPr>
            <w:r>
              <w:rPr>
                <w:rFonts w:ascii="Calibri" w:hAnsi="Calibri" w:eastAsia="Microsoft YaHei"/>
                <w:b/>
                <w:color w:val="FFFFFF"/>
              </w:rPr>
              <w:t>金额</w:t>
            </w:r>
          </w:p>
        </w:tc>
        <w:tc>
          <w:tcPr>
            <w:tcW w:type="dxa" w:w="28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123B5D"/>
          </w:tcPr>
          <w:p>
            <w:pPr>
              <w:spacing w:after="0"/>
              <w:jc w:val="center"/>
            </w:pPr>
            <w:r>
              <w:rPr>
                <w:rFonts w:ascii="Calibri" w:hAnsi="Calibri" w:eastAsia="Microsoft YaHei"/>
                <w:b/>
                <w:color w:val="FFFFFF"/>
              </w:rPr>
              <w:t>说明</w:t>
            </w:r>
          </w:p>
        </w:tc>
      </w:tr>
      <w:tr>
        <w:tc>
          <w:tcPr>
            <w:tcW w:type="dxa" w:w="22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ChatGPT Pro 账号</w:t>
            </w:r>
          </w:p>
        </w:tc>
        <w:tc>
          <w:tcPr>
            <w:tcW w:type="dxa" w:w="2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4 个账号 x USD 200/月</w:t>
            </w:r>
          </w:p>
        </w:tc>
        <w:tc>
          <w:tcPr>
            <w:tcW w:type="dxa" w:w="18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USD 800/月</w:t>
            </w:r>
          </w:p>
        </w:tc>
        <w:tc>
          <w:tcPr>
            <w:tcW w:type="dxa" w:w="28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用于业务人员日常方案、表格、文档、复杂问题分析和高强度 AI 使用。</w:t>
            </w:r>
          </w:p>
        </w:tc>
      </w:tr>
      <w:tr>
        <w:tc>
          <w:tcPr>
            <w:tcW w:type="dxa" w:w="22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采购申请金额</w:t>
            </w:r>
          </w:p>
        </w:tc>
        <w:tc>
          <w:tcPr>
            <w:tcW w:type="dxa" w:w="2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按 1 个月试点</w:t>
            </w:r>
          </w:p>
        </w:tc>
        <w:tc>
          <w:tcPr>
            <w:tcW w:type="dxa" w:w="18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USD 800</w:t>
            </w:r>
          </w:p>
        </w:tc>
        <w:tc>
          <w:tcPr>
            <w:tcW w:type="dxa" w:w="28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先按一个月费用提交申请，后续是否续费根据试运行效果决定。</w:t>
            </w:r>
          </w:p>
        </w:tc>
      </w:tr>
      <w:tr>
        <w:tc>
          <w:tcPr>
            <w:tcW w:type="dxa" w:w="22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OpenAI API 或其他第三方接口</w:t>
            </w:r>
          </w:p>
        </w:tc>
        <w:tc>
          <w:tcPr>
            <w:tcW w:type="dxa" w:w="2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未纳入本次 USD 800/月</w:t>
            </w:r>
          </w:p>
        </w:tc>
        <w:tc>
          <w:tcPr>
            <w:tcW w:type="dxa" w:w="18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另行测算</w:t>
            </w:r>
          </w:p>
        </w:tc>
        <w:tc>
          <w:tcPr>
            <w:tcW w:type="dxa" w:w="28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ChatGPT Pro 订阅不等同于 API 用量；当前系统侧主要通过 MCP/DeepSeek 跑业务工具。</w:t>
            </w:r>
          </w:p>
        </w:tc>
      </w:tr>
      <w:tr>
        <w:tc>
          <w:tcPr>
            <w:tcW w:type="dxa" w:w="220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内部系统开发/实施</w:t>
            </w:r>
          </w:p>
        </w:tc>
        <w:tc>
          <w:tcPr>
            <w:tcW w:type="dxa" w:w="24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使用现有 smqjh-agent 底座推进</w:t>
            </w:r>
          </w:p>
        </w:tc>
        <w:tc>
          <w:tcPr>
            <w:tcW w:type="dxa" w:w="185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如内部研发，不另列外采费用</w:t>
            </w:r>
          </w:p>
        </w:tc>
        <w:tc>
          <w:tcPr>
            <w:tcW w:type="dxa" w:w="28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</w:tcPr>
          <w:p>
            <w:pPr>
              <w:spacing w:after="0"/>
              <w:jc w:val="left"/>
            </w:pPr>
            <w:r>
              <w:rPr>
                <w:rFonts w:ascii="Calibri" w:hAnsi="Calibri" w:eastAsia="Microsoft YaHei"/>
              </w:rPr>
              <w:t>若后续外包 OCR、价格接口或专门爬取服务，需要单独报价。</w:t>
            </w:r>
          </w:p>
        </w:tc>
      </w:tr>
    </w:tbl>
    <w:p/>
    <w:tbl>
      <w:tblPr>
        <w:tblStyle w:val="TableGrid"/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6" w:space="0" w:color="D0D5DD"/>
          <w:left w:val="single" w:sz="6" w:space="0" w:color="D0D5DD"/>
          <w:bottom w:val="single" w:sz="6" w:space="0" w:color="D0D5DD"/>
          <w:right w:val="single" w:sz="6" w:space="0" w:color="D0D5DD"/>
          <w:insideH w:val="single" w:sz="6" w:space="0" w:color="D0D5DD"/>
          <w:insideV w:val="single" w:sz="6" w:space="0" w:color="D0D5DD"/>
        </w:tblBorders>
      </w:tblPr>
      <w:tblGrid>
        <w:gridCol w:w="9360"/>
      </w:tblGrid>
      <w:tr>
        <w:tc>
          <w:tcPr>
            <w:tcW w:type="dxa" w:w="93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FFF8E8"/>
          </w:tcPr>
          <w:p>
            <w:pPr>
              <w:spacing w:after="80"/>
            </w:pPr>
            <w:r>
              <w:rPr>
                <w:rFonts w:ascii="Calibri" w:hAnsi="Calibri" w:eastAsia="Microsoft YaHei"/>
                <w:b/>
                <w:color w:val="123B5D"/>
              </w:rPr>
              <w:t>采购与发票说明</w:t>
            </w:r>
          </w:p>
          <w:p>
            <w:pPr>
              <w:spacing w:after="0"/>
            </w:pPr>
            <w:r>
              <w:rPr>
                <w:rFonts w:ascii="Calibri" w:hAnsi="Calibri" w:eastAsia="Microsoft YaHei"/>
              </w:rPr>
              <w:t>ChatGPT 自助订阅通常可在账户账单里下载 invoice/receipt，但这不等同于国内增值税专票或普票。当前建议先按 USD 800/月提交采购申请，同步让财务确认境外订阅 invoice、付款截图、信用卡流水等材料是否可作为报销/入账依据；如果必须取得国内发票，需要另查代理采购或企业合同路径，预算和周期都会变化。</w:t>
            </w:r>
          </w:p>
        </w:tc>
      </w:tr>
    </w:tbl>
    <w:p/>
    <w:p>
      <w:pPr>
        <w:pStyle w:val="Heading1"/>
      </w:pPr>
      <w:r>
        <w:rPr>
          <w:rFonts w:ascii="Calibri" w:hAnsi="Calibri" w:eastAsia="Microsoft YaHei"/>
        </w:rPr>
        <w:t>5. 推荐推进方式</w:t>
      </w:r>
    </w:p>
    <w:p>
      <w:pPr>
        <w:pStyle w:val="ListNumber"/>
      </w:pPr>
      <w:r>
        <w:rPr>
          <w:rFonts w:ascii="Calibri" w:hAnsi="Calibri" w:eastAsia="Microsoft YaHei"/>
        </w:rPr>
        <w:t>先提交 USD 800/月 / 4 个 ChatGPT Pro 账号的试点申请。</w:t>
      </w:r>
    </w:p>
    <w:p>
      <w:pPr>
        <w:pStyle w:val="ListNumber"/>
      </w:pPr>
      <w:r>
        <w:rPr>
          <w:rFonts w:ascii="Calibri" w:hAnsi="Calibri" w:eastAsia="Microsoft YaHei"/>
        </w:rPr>
        <w:t>账号采购和系统建设同步走，避免等采购流程导致研发试点停滞。</w:t>
      </w:r>
    </w:p>
    <w:p>
      <w:pPr>
        <w:pStyle w:val="ListNumber"/>
      </w:pPr>
      <w:r>
        <w:rPr>
          <w:rFonts w:ascii="Calibri" w:hAnsi="Calibri" w:eastAsia="Microsoft YaHei"/>
        </w:rPr>
        <w:t>第一条端到端样例建议选择“报价单 + 对账查询”组合：展示价值直接，也最贴合当前需求文档。</w:t>
      </w:r>
    </w:p>
    <w:p>
      <w:pPr>
        <w:pStyle w:val="ListNumber"/>
      </w:pPr>
      <w:r>
        <w:rPr>
          <w:rFonts w:ascii="Calibri" w:hAnsi="Calibri" w:eastAsia="Microsoft YaHei"/>
        </w:rPr>
        <w:t>所有涉及金额、上下架、充值、开票的结果都输出“待确认清单”，由业务人员确认后再执行。</w:t>
      </w:r>
    </w:p>
    <w:p>
      <w:pPr>
        <w:pStyle w:val="ListNumber"/>
      </w:pPr>
      <w:r>
        <w:rPr>
          <w:rFonts w:ascii="Calibri" w:hAnsi="Calibri" w:eastAsia="Microsoft YaHei"/>
        </w:rPr>
        <w:t>试运行结束后，用真实样本统计节省时间、错误率、人工确认比例，再决定第二期是否做更深的自动写入和审批流。</w:t>
      </w:r>
    </w:p>
    <w:p>
      <w:pPr>
        <w:pStyle w:val="Heading1"/>
      </w:pPr>
      <w:r>
        <w:rPr>
          <w:rFonts w:ascii="Calibri" w:hAnsi="Calibri" w:eastAsia="Microsoft YaHei"/>
        </w:rPr>
        <w:t>6. 可直接用于内部汇报的版本</w:t>
      </w:r>
    </w:p>
    <w:tbl>
      <w:tblPr>
        <w:tblStyle w:val="TableGrid"/>
        <w:tblW w:type="dxa" w:w="9360"/>
        <w:jc w:val="left"/>
        <w:tblLook w:firstColumn="1" w:firstRow="1" w:lastColumn="0" w:lastRow="0" w:noHBand="0" w:noVBand="1" w:val="04A0"/>
        <w:tblInd w:w="120" w:type="dxa"/>
        <w:tblBorders>
          <w:top w:val="single" w:sz="6" w:space="0" w:color="D0D5DD"/>
          <w:left w:val="single" w:sz="6" w:space="0" w:color="D0D5DD"/>
          <w:bottom w:val="single" w:sz="6" w:space="0" w:color="D0D5DD"/>
          <w:right w:val="single" w:sz="6" w:space="0" w:color="D0D5DD"/>
          <w:insideH w:val="single" w:sz="6" w:space="0" w:color="D0D5DD"/>
          <w:insideV w:val="single" w:sz="6" w:space="0" w:color="D0D5DD"/>
        </w:tblBorders>
      </w:tblPr>
      <w:tblGrid>
        <w:gridCol w:w="9360"/>
      </w:tblGrid>
      <w:tr>
        <w:tc>
          <w:tcPr>
            <w:tcW w:type="dxa" w:w="9360"/>
            <w:vAlign w:val="center"/>
            <w:tcMar>
              <w:top w:w="100" w:type="dxa"/>
              <w:bottom w:w="100" w:type="dxa"/>
              <w:start w:w="140" w:type="dxa"/>
              <w:end w:w="140" w:type="dxa"/>
            </w:tcMar>
            <w:shd w:fill="EEF5FA"/>
          </w:tcPr>
          <w:p>
            <w:pPr>
              <w:spacing w:after="80"/>
            </w:pPr>
            <w:r>
              <w:rPr>
                <w:rFonts w:ascii="Calibri" w:hAnsi="Calibri" w:eastAsia="Microsoft YaHei"/>
                <w:b/>
                <w:color w:val="123B5D"/>
              </w:rPr>
              <w:t>汇报口径</w:t>
            </w:r>
          </w:p>
          <w:p>
            <w:pPr>
              <w:spacing w:after="0"/>
            </w:pPr>
            <w:r>
              <w:rPr>
                <w:rFonts w:ascii="Calibri" w:hAnsi="Calibri" w:eastAsia="Microsoft YaHei"/>
              </w:rPr>
              <w:t>第一期主要解决报价、商品、充值、对账和查询这几类重复性工作。当前系统已经有 Agent、MCP、只读数据库和表格输出底座，所以不需要从零开始。账号侧先采购 4 个 ChatGPT Pro 账号做业务和文档辅助，预算按 USD 800/月申请；系统侧同步把查询、报价单、对账和充值整理做成可复用流程。预计 4 周能出可演示版本，6 周进入小范围试运行。ChatGPT 自助订阅暂时无法提供国内增值税发票，我们先提交申请，同时让财务确认境外 invoice/付款凭证是否可接受；如果必须走国内发票，再调整采购路径和预算。</w:t>
            </w:r>
          </w:p>
        </w:tc>
      </w:tr>
    </w:tbl>
    <w:p/>
    <w:p>
      <w:pPr>
        <w:pStyle w:val="Heading1"/>
      </w:pPr>
      <w:r>
        <w:rPr>
          <w:rFonts w:ascii="Calibri" w:hAnsi="Calibri" w:eastAsia="Microsoft YaHei"/>
        </w:rPr>
        <w:t>参考信息</w:t>
      </w:r>
    </w:p>
    <w:p>
      <w:pPr>
        <w:pStyle w:val="ListBullet"/>
      </w:pPr>
      <w:r>
        <w:rPr>
          <w:rFonts w:ascii="Calibri" w:hAnsi="Calibri" w:eastAsia="Microsoft YaHei"/>
        </w:rPr>
        <w:t>OpenAI Help Center：ChatGPT Pro 档位包含 USD 100/月和 USD 200/月两类，Pro USD 200 对应最高用量档。https://help.openai.com/en/articles/9793128-about-chatgpt-pro-tiers</w:t>
      </w:r>
    </w:p>
    <w:p>
      <w:pPr>
        <w:pStyle w:val="ListBullet"/>
      </w:pPr>
      <w:r>
        <w:rPr>
          <w:rFonts w:ascii="Calibri" w:hAnsi="Calibri" w:eastAsia="Microsoft YaHei"/>
        </w:rPr>
        <w:t>OpenAI Help Center：自助 ChatGPT 客户可在账单入口查看或下载过往 invoices；如果组织要求 invoice billing，需要联系 Sales 讨论 Enterprise/Education 等合同方案。https://help.openai.com/en/articles/12356340-how-can-i-find-my-past-chatgpt-invoices</w:t>
      </w:r>
    </w:p>
    <w:p>
      <w:pPr>
        <w:pStyle w:val="ListBullet"/>
      </w:pPr>
      <w:r>
        <w:rPr>
          <w:rFonts w:ascii="Calibri" w:hAnsi="Calibri" w:eastAsia="Microsoft YaHei"/>
        </w:rPr>
        <w:t>当前项目资料：smqjh-agent-runtime、smqjh-mcp-server、smqjh-admin-agent 以及《市民请集合AI第一期需求.docx》。</w:t>
      </w:r>
    </w:p>
    <w:sectPr w:rsidR="00FC693F" w:rsidRPr="0006063C" w:rsidSect="00034616">
      <w:footerReference w:type="default" r:id="rId9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 w:eastAsia="Microsoft YaHei"/>
        <w:color w:val="667085"/>
        <w:sz w:val="18"/>
      </w:rPr>
      <w:t>市民请集合 AI 第一期方案汇总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264" w:lineRule="auto"/>
    </w:pPr>
    <w:rPr>
      <w:rFonts w:ascii="Calibri" w:hAnsi="Calibr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Calibri" w:hAnsi="Calibri" w:eastAsia="Microsoft YaHei"/>
      <w:b/>
      <w:bCs/>
      <w:color w:val="1E5B8C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Calibri" w:hAnsi="Calibri" w:eastAsia="Microsoft YaHei"/>
      <w:b/>
      <w:bCs/>
      <w:color w:val="1E5B8C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Calibri" w:hAnsi="Calibri" w:eastAsia="Microsoft YaHei"/>
      <w:b/>
      <w:bCs/>
      <w:color w:val="123B5D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60" w:line="240" w:lineRule="auto" w:before="0"/>
      <w:contextualSpacing/>
    </w:pPr>
    <w:rPr>
      <w:rFonts w:asciiTheme="majorHAnsi" w:eastAsiaTheme="majorEastAsia" w:hAnsiTheme="majorHAnsi" w:cstheme="majorBidi" w:ascii="Calibri" w:hAnsi="Calibri" w:eastAsia="Microsoft YaHei"/>
      <w:b/>
      <w:color w:val="0B2545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after="280"/>
    </w:pPr>
    <w:rPr>
      <w:rFonts w:asciiTheme="majorHAnsi" w:eastAsiaTheme="majorEastAsia" w:hAnsiTheme="majorHAnsi" w:cstheme="majorBidi" w:ascii="Calibri" w:hAnsi="Calibri" w:eastAsia="Microsoft YaHei"/>
      <w:i/>
      <w:iCs/>
      <w:color w:val="667085"/>
      <w:spacing w:val="15"/>
      <w:sz w:val="2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160" w:line="280" w:lineRule="auto"/>
      <w:contextualSpacing/>
    </w:pPr>
    <w:rPr>
      <w:rFonts w:ascii="Calibri" w:hAnsi="Calibri" w:eastAsia="Microsoft YaHei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160" w:line="280" w:lineRule="auto"/>
      <w:contextualSpacing/>
    </w:pPr>
    <w:rPr>
      <w:rFonts w:ascii="Calibri" w:hAnsi="Calibri" w:eastAsia="Microsoft YaHei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