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620D6">
      <w:pPr>
        <w:pStyle w:val="31"/>
      </w:pPr>
      <w:r>
        <w:rPr>
          <w:rFonts w:ascii="微软雅黑" w:hAnsi="微软雅黑" w:eastAsia="微软雅黑"/>
        </w:rPr>
        <w:t>市民请集合智能助手 Agent 简版建设方案</w:t>
      </w:r>
    </w:p>
    <w:p w14:paraId="612C8480">
      <w:pPr>
        <w:pStyle w:val="26"/>
      </w:pPr>
      <w:r>
        <w:rPr>
          <w:rFonts w:ascii="微软雅黑" w:hAnsi="微软雅黑" w:eastAsia="微软雅黑"/>
        </w:rPr>
        <w:t>结合当前 smqjh-agent 项目、Agent 设计复盘方案与结算需求文档整理</w:t>
      </w:r>
    </w:p>
    <w:p w14:paraId="0E66285E">
      <w:r>
        <w:rPr>
          <w:rFonts w:ascii="微软雅黑" w:hAnsi="微软雅黑" w:eastAsia="微软雅黑"/>
        </w:rPr>
        <w:t>版本：讨论稿 v0.1    日期：2026-06-08    适用：内部产品/研发/运营沟通</w:t>
      </w:r>
    </w:p>
    <w:tbl>
      <w:tblPr>
        <w:tblStyle w:val="33"/>
        <w:tblW w:w="936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14:paraId="5D28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0" w:type="dxa"/>
            <w:shd w:val="clear" w:color="auto" w:fill="F4F6F9"/>
            <w:tcMar>
              <w:top w:w="80" w:type="dxa"/>
              <w:left w:w="120" w:type="dxa"/>
              <w:bottom w:w="80" w:type="dxa"/>
              <w:right w:w="120" w:type="dxa"/>
            </w:tcMar>
            <w:vAlign w:val="center"/>
          </w:tcPr>
          <w:p w14:paraId="01339CD1">
            <w:r>
              <w:rPr>
                <w:rFonts w:ascii="微软雅黑" w:hAnsi="微软雅黑" w:eastAsia="微软雅黑"/>
                <w:b/>
                <w:color w:val="1F4D78"/>
              </w:rPr>
              <w:t>核心判断</w:t>
            </w:r>
          </w:p>
          <w:p w14:paraId="51319A49">
            <w:r>
              <w:rPr>
                <w:rFonts w:ascii="微软雅黑" w:hAnsi="微软雅黑" w:eastAsia="微软雅黑"/>
              </w:rPr>
              <w:t>这个产品不应只是一个聊天框，而应逐步升级为“模型自主规划、MCP 统一工具、业务系统只读查询、结果表格化/文件化、关键动作人工确认”的内部业务 Agent。</w:t>
            </w:r>
          </w:p>
        </w:tc>
      </w:tr>
    </w:tbl>
    <w:p w14:paraId="16627BD7"/>
    <w:p w14:paraId="42D1C052">
      <w:pPr>
        <w:pStyle w:val="3"/>
      </w:pPr>
      <w:r>
        <w:rPr>
          <w:rFonts w:ascii="微软雅黑" w:hAnsi="微软雅黑" w:eastAsia="微软雅黑"/>
        </w:rPr>
        <w:t>1. 项目定位</w:t>
      </w:r>
    </w:p>
    <w:p w14:paraId="5E6393BB">
      <w:r>
        <w:rPr>
          <w:rFonts w:ascii="微软雅黑" w:hAnsi="微软雅黑" w:eastAsia="微软雅黑"/>
        </w:rPr>
        <w:t>市民请集合智能助手定位为面向后台管理员和运营人员的桌面端业务 Agent。第一版先解决“查数据、看依据、生成表格、辅助结算、记录人工确认事项”，后续再扩展到充值、消费履约、发券、对账、运维巡检等流程。</w:t>
      </w:r>
    </w:p>
    <w:p w14:paraId="28562138">
      <w:pPr>
        <w:pStyle w:val="16"/>
      </w:pPr>
      <w:r>
        <w:rPr>
          <w:rFonts w:ascii="微软雅黑" w:hAnsi="微软雅黑" w:eastAsia="微软雅黑"/>
        </w:rPr>
        <w:t>不是通用聊天机器人：回答范围限定在 smqjh 项目业务和日常简单问答。</w:t>
      </w:r>
    </w:p>
    <w:p w14:paraId="7F6E2D71">
      <w:pPr>
        <w:pStyle w:val="16"/>
      </w:pPr>
      <w:r>
        <w:rPr>
          <w:rFonts w:ascii="微软雅黑" w:hAnsi="微软雅黑" w:eastAsia="微软雅黑"/>
        </w:rPr>
        <w:t>不是简单任务按钮集合：模型应根据用户目标判断是否需要查询数据库、调用接口、生成文件或进入人工确认。</w:t>
      </w:r>
    </w:p>
    <w:p w14:paraId="5795BA3C">
      <w:pPr>
        <w:pStyle w:val="16"/>
      </w:pPr>
      <w:r>
        <w:rPr>
          <w:rFonts w:ascii="微软雅黑" w:hAnsi="微软雅黑" w:eastAsia="微软雅黑"/>
        </w:rPr>
        <w:t>不是自动写入业务系统：涉及结算确认、充值导入、发券、扣减等动作必须进入人工确认。</w:t>
      </w:r>
    </w:p>
    <w:p w14:paraId="2CEE96C8">
      <w:pPr>
        <w:pStyle w:val="3"/>
      </w:pPr>
      <w:r>
        <w:rPr>
          <w:rFonts w:ascii="微软雅黑" w:hAnsi="微软雅黑" w:eastAsia="微软雅黑"/>
        </w:rPr>
        <w:t>2. 当前项目已具备的底座</w:t>
      </w:r>
    </w:p>
    <w:tbl>
      <w:tblPr>
        <w:tblStyle w:val="33"/>
        <w:tblW w:w="936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3650"/>
        <w:gridCol w:w="4010"/>
      </w:tblGrid>
      <w:tr w14:paraId="5A13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F2F4F7"/>
            <w:tcMar>
              <w:top w:w="80" w:type="dxa"/>
              <w:left w:w="120" w:type="dxa"/>
              <w:bottom w:w="80" w:type="dxa"/>
              <w:right w:w="120" w:type="dxa"/>
            </w:tcMar>
            <w:vAlign w:val="center"/>
          </w:tcPr>
          <w:p w14:paraId="0BE23458">
            <w:pPr>
              <w:jc w:val="center"/>
            </w:pPr>
            <w:r>
              <w:rPr>
                <w:rFonts w:ascii="微软雅黑" w:hAnsi="微软雅黑" w:eastAsia="微软雅黑"/>
                <w:b/>
                <w:color w:val="0B2545"/>
              </w:rPr>
              <w:t>能力</w:t>
            </w:r>
          </w:p>
        </w:tc>
        <w:tc>
          <w:tcPr>
            <w:tcW w:w="3650" w:type="dxa"/>
            <w:shd w:val="clear" w:color="auto" w:fill="F2F4F7"/>
            <w:tcMar>
              <w:top w:w="80" w:type="dxa"/>
              <w:left w:w="120" w:type="dxa"/>
              <w:bottom w:w="80" w:type="dxa"/>
              <w:right w:w="120" w:type="dxa"/>
            </w:tcMar>
            <w:vAlign w:val="center"/>
          </w:tcPr>
          <w:p w14:paraId="6E498542">
            <w:pPr>
              <w:jc w:val="center"/>
            </w:pPr>
            <w:r>
              <w:rPr>
                <w:rFonts w:ascii="微软雅黑" w:hAnsi="微软雅黑" w:eastAsia="微软雅黑"/>
                <w:b/>
                <w:color w:val="0B2545"/>
              </w:rPr>
              <w:t>当前状态</w:t>
            </w:r>
          </w:p>
        </w:tc>
        <w:tc>
          <w:tcPr>
            <w:tcW w:w="4010" w:type="dxa"/>
            <w:shd w:val="clear" w:color="auto" w:fill="F2F4F7"/>
            <w:tcMar>
              <w:top w:w="80" w:type="dxa"/>
              <w:left w:w="120" w:type="dxa"/>
              <w:bottom w:w="80" w:type="dxa"/>
              <w:right w:w="120" w:type="dxa"/>
            </w:tcMar>
            <w:vAlign w:val="center"/>
          </w:tcPr>
          <w:p w14:paraId="7B1978FE">
            <w:pPr>
              <w:jc w:val="center"/>
            </w:pPr>
            <w:r>
              <w:rPr>
                <w:rFonts w:ascii="微软雅黑" w:hAnsi="微软雅黑" w:eastAsia="微软雅黑"/>
                <w:b/>
                <w:color w:val="0B2545"/>
              </w:rPr>
              <w:t>下一步意义</w:t>
            </w:r>
          </w:p>
        </w:tc>
      </w:tr>
      <w:tr w14:paraId="6399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1E7C4C24">
            <w:pPr>
              <w:jc w:val="left"/>
            </w:pPr>
            <w:r>
              <w:rPr>
                <w:rFonts w:ascii="微软雅黑" w:hAnsi="微软雅黑" w:eastAsia="微软雅黑"/>
              </w:rPr>
              <w:t>桌面端界面</w:t>
            </w:r>
          </w:p>
        </w:tc>
        <w:tc>
          <w:tcPr>
            <w:tcW w:w="3650" w:type="dxa"/>
            <w:tcMar>
              <w:top w:w="80" w:type="dxa"/>
              <w:left w:w="120" w:type="dxa"/>
              <w:bottom w:w="80" w:type="dxa"/>
              <w:right w:w="120" w:type="dxa"/>
            </w:tcMar>
            <w:vAlign w:val="center"/>
          </w:tcPr>
          <w:p w14:paraId="51117E65">
            <w:pPr>
              <w:jc w:val="left"/>
            </w:pPr>
            <w:r>
              <w:rPr>
                <w:rFonts w:ascii="微软雅黑" w:hAnsi="微软雅黑" w:eastAsia="微软雅黑"/>
              </w:rPr>
              <w:t>Electron 已搭建，包含对话、任务、配置、日志。</w:t>
            </w:r>
          </w:p>
        </w:tc>
        <w:tc>
          <w:tcPr>
            <w:tcW w:w="4010" w:type="dxa"/>
            <w:tcMar>
              <w:top w:w="80" w:type="dxa"/>
              <w:left w:w="120" w:type="dxa"/>
              <w:bottom w:w="80" w:type="dxa"/>
              <w:right w:w="120" w:type="dxa"/>
            </w:tcMar>
            <w:vAlign w:val="center"/>
          </w:tcPr>
          <w:p w14:paraId="7832AA7B">
            <w:pPr>
              <w:jc w:val="left"/>
            </w:pPr>
            <w:r>
              <w:rPr>
                <w:rFonts w:ascii="微软雅黑" w:hAnsi="微软雅黑" w:eastAsia="微软雅黑"/>
              </w:rPr>
              <w:t>继续作为管理员统一入口，重点优化过程展示和文件入口。</w:t>
            </w:r>
          </w:p>
        </w:tc>
      </w:tr>
      <w:tr w14:paraId="441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0E54630C">
            <w:pPr>
              <w:jc w:val="left"/>
            </w:pPr>
            <w:r>
              <w:rPr>
                <w:rFonts w:ascii="微软雅黑" w:hAnsi="微软雅黑" w:eastAsia="微软雅黑"/>
              </w:rPr>
              <w:t>MCP 服务</w:t>
            </w:r>
          </w:p>
        </w:tc>
        <w:tc>
          <w:tcPr>
            <w:tcW w:w="3650" w:type="dxa"/>
            <w:tcMar>
              <w:top w:w="80" w:type="dxa"/>
              <w:left w:w="120" w:type="dxa"/>
              <w:bottom w:w="80" w:type="dxa"/>
              <w:right w:w="120" w:type="dxa"/>
            </w:tcMar>
            <w:vAlign w:val="center"/>
          </w:tcPr>
          <w:p w14:paraId="16F9B082">
            <w:pPr>
              <w:jc w:val="left"/>
            </w:pPr>
            <w:r>
              <w:rPr>
                <w:rFonts w:ascii="微软雅黑" w:hAnsi="微软雅黑" w:eastAsia="微软雅黑"/>
              </w:rPr>
              <w:t>Java MCP 已接管 DeepSeek、数据库配置和工具注册。</w:t>
            </w:r>
          </w:p>
        </w:tc>
        <w:tc>
          <w:tcPr>
            <w:tcW w:w="4010" w:type="dxa"/>
            <w:tcMar>
              <w:top w:w="80" w:type="dxa"/>
              <w:left w:w="120" w:type="dxa"/>
              <w:bottom w:w="80" w:type="dxa"/>
              <w:right w:w="120" w:type="dxa"/>
            </w:tcMar>
            <w:vAlign w:val="center"/>
          </w:tcPr>
          <w:p w14:paraId="26BE9FD5">
            <w:pPr>
              <w:jc w:val="left"/>
            </w:pPr>
            <w:r>
              <w:rPr>
                <w:rFonts w:ascii="微软雅黑" w:hAnsi="微软雅黑" w:eastAsia="微软雅黑"/>
              </w:rPr>
              <w:t>后续把更多业务工具迁到 MCP，桌面端少做业务判断。</w:t>
            </w:r>
          </w:p>
        </w:tc>
      </w:tr>
      <w:tr w14:paraId="3C0A1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722CA275">
            <w:pPr>
              <w:jc w:val="left"/>
            </w:pPr>
            <w:r>
              <w:rPr>
                <w:rFonts w:ascii="微软雅黑" w:hAnsi="微软雅黑" w:eastAsia="微软雅黑"/>
              </w:rPr>
              <w:t>只读数据库</w:t>
            </w:r>
          </w:p>
        </w:tc>
        <w:tc>
          <w:tcPr>
            <w:tcW w:w="3650" w:type="dxa"/>
            <w:tcMar>
              <w:top w:w="80" w:type="dxa"/>
              <w:left w:w="120" w:type="dxa"/>
              <w:bottom w:w="80" w:type="dxa"/>
              <w:right w:w="120" w:type="dxa"/>
            </w:tcMar>
            <w:vAlign w:val="center"/>
          </w:tcPr>
          <w:p w14:paraId="6AED4F34">
            <w:pPr>
              <w:jc w:val="left"/>
            </w:pPr>
            <w:r>
              <w:rPr>
                <w:rFonts w:ascii="微软雅黑" w:hAnsi="微软雅黑" w:eastAsia="微软雅黑"/>
              </w:rPr>
              <w:t>已支持 SELECT 校验、白名单表、默认 LIMIT、超时和只读事务。</w:t>
            </w:r>
          </w:p>
        </w:tc>
        <w:tc>
          <w:tcPr>
            <w:tcW w:w="4010" w:type="dxa"/>
            <w:tcMar>
              <w:top w:w="80" w:type="dxa"/>
              <w:left w:w="120" w:type="dxa"/>
              <w:bottom w:w="80" w:type="dxa"/>
              <w:right w:w="120" w:type="dxa"/>
            </w:tcMar>
            <w:vAlign w:val="center"/>
          </w:tcPr>
          <w:p w14:paraId="304511FD">
            <w:pPr>
              <w:jc w:val="left"/>
            </w:pPr>
            <w:r>
              <w:rPr>
                <w:rFonts w:ascii="微软雅黑" w:hAnsi="微软雅黑" w:eastAsia="微软雅黑"/>
              </w:rPr>
              <w:t>业务事实查询默认由 Agent 自动完成，不让用户自己执行 SQL。</w:t>
            </w:r>
          </w:p>
        </w:tc>
      </w:tr>
      <w:tr w14:paraId="1BCF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4A73E3F6">
            <w:pPr>
              <w:jc w:val="left"/>
            </w:pPr>
            <w:r>
              <w:rPr>
                <w:rFonts w:ascii="微软雅黑" w:hAnsi="微软雅黑" w:eastAsia="微软雅黑"/>
              </w:rPr>
              <w:t>智能 SQL 查询</w:t>
            </w:r>
          </w:p>
        </w:tc>
        <w:tc>
          <w:tcPr>
            <w:tcW w:w="3650" w:type="dxa"/>
            <w:tcMar>
              <w:top w:w="80" w:type="dxa"/>
              <w:left w:w="120" w:type="dxa"/>
              <w:bottom w:w="80" w:type="dxa"/>
              <w:right w:w="120" w:type="dxa"/>
            </w:tcMar>
            <w:vAlign w:val="center"/>
          </w:tcPr>
          <w:p w14:paraId="0CDAD46F">
            <w:pPr>
              <w:jc w:val="left"/>
            </w:pPr>
            <w:r>
              <w:rPr>
                <w:rFonts w:ascii="微软雅黑" w:hAnsi="微软雅黑" w:eastAsia="微软雅黑"/>
              </w:rPr>
              <w:t>已新增 smart query，由 DeepSeek 生成 SQL，MCP 安全执行并返回表格。</w:t>
            </w:r>
          </w:p>
        </w:tc>
        <w:tc>
          <w:tcPr>
            <w:tcW w:w="4010" w:type="dxa"/>
            <w:tcMar>
              <w:top w:w="80" w:type="dxa"/>
              <w:left w:w="120" w:type="dxa"/>
              <w:bottom w:w="80" w:type="dxa"/>
              <w:right w:w="120" w:type="dxa"/>
            </w:tcMar>
            <w:vAlign w:val="center"/>
          </w:tcPr>
          <w:p w14:paraId="4089E522">
            <w:pPr>
              <w:jc w:val="left"/>
            </w:pPr>
            <w:r>
              <w:rPr>
                <w:rFonts w:ascii="微软雅黑" w:hAnsi="微软雅黑" w:eastAsia="微软雅黑"/>
              </w:rPr>
              <w:t>解决“识别到了但不执行”的关键问题。</w:t>
            </w:r>
          </w:p>
        </w:tc>
      </w:tr>
      <w:tr w14:paraId="4DE13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7C1CE89D">
            <w:pPr>
              <w:jc w:val="left"/>
            </w:pPr>
            <w:r>
              <w:rPr>
                <w:rFonts w:ascii="微软雅黑" w:hAnsi="微软雅黑" w:eastAsia="微软雅黑"/>
              </w:rPr>
              <w:t>Excel 产物</w:t>
            </w:r>
          </w:p>
        </w:tc>
        <w:tc>
          <w:tcPr>
            <w:tcW w:w="3650" w:type="dxa"/>
            <w:tcMar>
              <w:top w:w="80" w:type="dxa"/>
              <w:left w:w="120" w:type="dxa"/>
              <w:bottom w:w="80" w:type="dxa"/>
              <w:right w:w="120" w:type="dxa"/>
            </w:tcMar>
            <w:vAlign w:val="center"/>
          </w:tcPr>
          <w:p w14:paraId="5F6F4E5E">
            <w:pPr>
              <w:jc w:val="left"/>
            </w:pPr>
            <w:r>
              <w:rPr>
                <w:rFonts w:ascii="微软雅黑" w:hAnsi="微软雅黑" w:eastAsia="微软雅黑"/>
              </w:rPr>
              <w:t>已支持通用表格导出和价格对比导出。</w:t>
            </w:r>
          </w:p>
        </w:tc>
        <w:tc>
          <w:tcPr>
            <w:tcW w:w="4010" w:type="dxa"/>
            <w:tcMar>
              <w:top w:w="80" w:type="dxa"/>
              <w:left w:w="120" w:type="dxa"/>
              <w:bottom w:w="80" w:type="dxa"/>
              <w:right w:w="120" w:type="dxa"/>
            </w:tcMar>
            <w:vAlign w:val="center"/>
          </w:tcPr>
          <w:p w14:paraId="657C2A6C">
            <w:pPr>
              <w:jc w:val="left"/>
            </w:pPr>
            <w:r>
              <w:rPr>
                <w:rFonts w:ascii="微软雅黑" w:hAnsi="微软雅黑" w:eastAsia="微软雅黑"/>
              </w:rPr>
              <w:t>用户说“做成表格/导出 Excel”时可以直接产出文件。</w:t>
            </w:r>
          </w:p>
        </w:tc>
      </w:tr>
      <w:tr w14:paraId="1570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2DDF9977">
            <w:pPr>
              <w:jc w:val="left"/>
            </w:pPr>
            <w:r>
              <w:rPr>
                <w:rFonts w:ascii="微软雅黑" w:hAnsi="微软雅黑" w:eastAsia="微软雅黑"/>
              </w:rPr>
              <w:t>结算雏形</w:t>
            </w:r>
          </w:p>
        </w:tc>
        <w:tc>
          <w:tcPr>
            <w:tcW w:w="3650" w:type="dxa"/>
            <w:tcMar>
              <w:top w:w="80" w:type="dxa"/>
              <w:left w:w="120" w:type="dxa"/>
              <w:bottom w:w="80" w:type="dxa"/>
              <w:right w:w="120" w:type="dxa"/>
            </w:tcMar>
            <w:vAlign w:val="center"/>
          </w:tcPr>
          <w:p w14:paraId="692EF9C9">
            <w:pPr>
              <w:jc w:val="left"/>
            </w:pPr>
            <w:r>
              <w:rPr>
                <w:rFonts w:ascii="微软雅黑" w:hAnsi="微软雅黑" w:eastAsia="微软雅黑"/>
              </w:rPr>
              <w:t>已建立月结企业清单和企业月结处理计划工具。</w:t>
            </w:r>
          </w:p>
        </w:tc>
        <w:tc>
          <w:tcPr>
            <w:tcW w:w="4010" w:type="dxa"/>
            <w:tcMar>
              <w:top w:w="80" w:type="dxa"/>
              <w:left w:w="120" w:type="dxa"/>
              <w:bottom w:w="80" w:type="dxa"/>
              <w:right w:w="120" w:type="dxa"/>
            </w:tcMar>
            <w:vAlign w:val="center"/>
          </w:tcPr>
          <w:p w14:paraId="612C87E2">
            <w:pPr>
              <w:jc w:val="left"/>
            </w:pPr>
            <w:r>
              <w:rPr>
                <w:rFonts w:ascii="微软雅黑" w:hAnsi="微软雅黑" w:eastAsia="微软雅黑"/>
              </w:rPr>
              <w:t>作为第一个明确业务场景继续深化。</w:t>
            </w:r>
          </w:p>
        </w:tc>
      </w:tr>
    </w:tbl>
    <w:p w14:paraId="3DA3BD7C"/>
    <w:p w14:paraId="143CD4FE">
      <w:pPr>
        <w:pStyle w:val="3"/>
      </w:pPr>
      <w:r>
        <w:rPr>
          <w:rFonts w:ascii="微软雅黑" w:hAnsi="微软雅黑" w:eastAsia="微软雅黑"/>
        </w:rPr>
        <w:t>3. 推荐目标架构</w:t>
      </w:r>
    </w:p>
    <w:p w14:paraId="072D5CF2">
      <w:pPr>
        <w:pStyle w:val="14"/>
      </w:pPr>
      <w:r>
        <w:rPr>
          <w:rFonts w:ascii="微软雅黑" w:hAnsi="微软雅黑" w:eastAsia="微软雅黑"/>
        </w:rPr>
        <w:t>桌面端：只负责登录、对话、结果展示、文件打开、人工确认和日志查看。</w:t>
      </w:r>
    </w:p>
    <w:p w14:paraId="59A388FA">
      <w:pPr>
        <w:pStyle w:val="14"/>
      </w:pPr>
      <w:r>
        <w:rPr>
          <w:rFonts w:ascii="微软雅黑" w:hAnsi="微软雅黑" w:eastAsia="微软雅黑"/>
        </w:rPr>
        <w:t>Agent Runtime：负责多步循环，按“规划 -&gt; 调工具 -&gt; 观察 -&gt; 再规划 -&gt; 总结”的方式完成任务。</w:t>
      </w:r>
    </w:p>
    <w:p w14:paraId="5516AC2A">
      <w:pPr>
        <w:pStyle w:val="14"/>
      </w:pPr>
      <w:r>
        <w:rPr>
          <w:rFonts w:ascii="微软雅黑" w:hAnsi="微软雅黑" w:eastAsia="微软雅黑"/>
        </w:rPr>
        <w:t>Java MCP：统一暴露业务工具、schema、业务口径、DeepSeek 调用、数据库只读查询和后续文件产物工具。</w:t>
      </w:r>
    </w:p>
    <w:p w14:paraId="734601CB">
      <w:pPr>
        <w:pStyle w:val="14"/>
      </w:pPr>
      <w:r>
        <w:rPr>
          <w:rFonts w:ascii="微软雅黑" w:hAnsi="微软雅黑" w:eastAsia="微软雅黑"/>
        </w:rPr>
        <w:t>业务系统/数据库：提供只读查询和导出接口；写入类动作必须经过人工确认。</w:t>
      </w:r>
    </w:p>
    <w:p w14:paraId="1D7EE871">
      <w:pPr>
        <w:pStyle w:val="14"/>
      </w:pPr>
      <w:r>
        <w:rPr>
          <w:rFonts w:ascii="微软雅黑" w:hAnsi="微软雅黑" w:eastAsia="微软雅黑"/>
        </w:rPr>
        <w:t>审计与评测：记录用户问题、工具调用、SQL、结果行数、耗时、失败原因，形成可回放链路。</w:t>
      </w:r>
    </w:p>
    <w:p w14:paraId="323E8BCB">
      <w:pPr>
        <w:pStyle w:val="3"/>
      </w:pPr>
      <w:r>
        <w:rPr>
          <w:rFonts w:ascii="微软雅黑" w:hAnsi="微软雅黑" w:eastAsia="微软雅黑"/>
        </w:rPr>
        <w:t>4. 一期建议功能清单</w:t>
      </w:r>
    </w:p>
    <w:tbl>
      <w:tblPr>
        <w:tblStyle w:val="33"/>
        <w:tblW w:w="986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4300"/>
        <w:gridCol w:w="3860"/>
      </w:tblGrid>
      <w:tr w14:paraId="2C42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shd w:val="clear" w:color="auto" w:fill="F2F4F7"/>
            <w:tcMar>
              <w:top w:w="80" w:type="dxa"/>
              <w:left w:w="120" w:type="dxa"/>
              <w:bottom w:w="80" w:type="dxa"/>
              <w:right w:w="120" w:type="dxa"/>
            </w:tcMar>
            <w:vAlign w:val="center"/>
          </w:tcPr>
          <w:p w14:paraId="70728FF6">
            <w:pPr>
              <w:jc w:val="center"/>
            </w:pPr>
            <w:r>
              <w:rPr>
                <w:rFonts w:ascii="微软雅黑" w:hAnsi="微软雅黑" w:eastAsia="微软雅黑"/>
                <w:b/>
                <w:color w:val="0B2545"/>
              </w:rPr>
              <w:t>模块</w:t>
            </w:r>
          </w:p>
        </w:tc>
        <w:tc>
          <w:tcPr>
            <w:tcW w:w="4300" w:type="dxa"/>
            <w:shd w:val="clear" w:color="auto" w:fill="F2F4F7"/>
            <w:tcMar>
              <w:top w:w="80" w:type="dxa"/>
              <w:left w:w="120" w:type="dxa"/>
              <w:bottom w:w="80" w:type="dxa"/>
              <w:right w:w="120" w:type="dxa"/>
            </w:tcMar>
            <w:vAlign w:val="center"/>
          </w:tcPr>
          <w:p w14:paraId="049CC847">
            <w:pPr>
              <w:jc w:val="center"/>
            </w:pPr>
            <w:r>
              <w:rPr>
                <w:rFonts w:ascii="微软雅黑" w:hAnsi="微软雅黑" w:eastAsia="微软雅黑"/>
                <w:b/>
                <w:color w:val="0B2545"/>
              </w:rPr>
              <w:t>一期功能</w:t>
            </w:r>
          </w:p>
        </w:tc>
        <w:tc>
          <w:tcPr>
            <w:tcW w:w="3860" w:type="dxa"/>
            <w:shd w:val="clear" w:color="auto" w:fill="F2F4F7"/>
            <w:tcMar>
              <w:top w:w="80" w:type="dxa"/>
              <w:left w:w="120" w:type="dxa"/>
              <w:bottom w:w="80" w:type="dxa"/>
              <w:right w:w="120" w:type="dxa"/>
            </w:tcMar>
            <w:vAlign w:val="center"/>
          </w:tcPr>
          <w:p w14:paraId="777A4D2F">
            <w:pPr>
              <w:jc w:val="center"/>
            </w:pPr>
            <w:r>
              <w:rPr>
                <w:rFonts w:ascii="微软雅黑" w:hAnsi="微软雅黑" w:eastAsia="微软雅黑"/>
                <w:b/>
                <w:color w:val="0B2545"/>
              </w:rPr>
              <w:t>验收口径</w:t>
            </w:r>
          </w:p>
        </w:tc>
      </w:tr>
      <w:tr w14:paraId="4137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70250E80">
            <w:pPr>
              <w:jc w:val="left"/>
            </w:pPr>
            <w:r>
              <w:rPr>
                <w:rFonts w:ascii="微软雅黑" w:hAnsi="微软雅黑" w:eastAsia="微软雅黑"/>
              </w:rPr>
              <w:t>对话工作台</w:t>
            </w:r>
          </w:p>
        </w:tc>
        <w:tc>
          <w:tcPr>
            <w:tcW w:w="4300" w:type="dxa"/>
            <w:tcMar>
              <w:top w:w="80" w:type="dxa"/>
              <w:left w:w="120" w:type="dxa"/>
              <w:bottom w:w="80" w:type="dxa"/>
              <w:right w:w="120" w:type="dxa"/>
            </w:tcMar>
            <w:vAlign w:val="center"/>
          </w:tcPr>
          <w:p w14:paraId="020DB1B1">
            <w:pPr>
              <w:jc w:val="left"/>
            </w:pPr>
            <w:r>
              <w:rPr>
                <w:rFonts w:ascii="微软雅黑" w:hAnsi="微软雅黑" w:eastAsia="微软雅黑"/>
              </w:rPr>
              <w:t>自然语言输入、多轮上下文、表格结果展示。</w:t>
            </w:r>
          </w:p>
        </w:tc>
        <w:tc>
          <w:tcPr>
            <w:tcW w:w="3860" w:type="dxa"/>
            <w:tcMar>
              <w:top w:w="80" w:type="dxa"/>
              <w:left w:w="120" w:type="dxa"/>
              <w:bottom w:w="80" w:type="dxa"/>
              <w:right w:w="120" w:type="dxa"/>
            </w:tcMar>
            <w:vAlign w:val="center"/>
          </w:tcPr>
          <w:p w14:paraId="355DD0F1">
            <w:pPr>
              <w:jc w:val="left"/>
            </w:pPr>
            <w:r>
              <w:rPr>
                <w:rFonts w:ascii="微软雅黑" w:hAnsi="微软雅黑" w:eastAsia="微软雅黑"/>
              </w:rPr>
              <w:t>用户问商品、订单、会员、物流时，Agent 能自动查并直接回答。</w:t>
            </w:r>
          </w:p>
        </w:tc>
      </w:tr>
      <w:tr w14:paraId="5B8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7267BC9F">
            <w:pPr>
              <w:jc w:val="left"/>
            </w:pPr>
            <w:r>
              <w:rPr>
                <w:rFonts w:ascii="微软雅黑" w:hAnsi="微软雅黑" w:eastAsia="微软雅黑"/>
              </w:rPr>
              <w:t>工具调用</w:t>
            </w:r>
          </w:p>
        </w:tc>
        <w:tc>
          <w:tcPr>
            <w:tcW w:w="4300" w:type="dxa"/>
            <w:tcMar>
              <w:top w:w="80" w:type="dxa"/>
              <w:left w:w="120" w:type="dxa"/>
              <w:bottom w:w="80" w:type="dxa"/>
              <w:right w:w="120" w:type="dxa"/>
            </w:tcMar>
            <w:vAlign w:val="center"/>
          </w:tcPr>
          <w:p w14:paraId="53943DCF">
            <w:pPr>
              <w:jc w:val="left"/>
            </w:pPr>
            <w:r>
              <w:rPr>
                <w:rFonts w:ascii="微软雅黑" w:hAnsi="微软雅黑" w:eastAsia="微软雅黑"/>
              </w:rPr>
              <w:t>MCP 工具规划、智能 SQL、商品查询、订单统计、月结计划。</w:t>
            </w:r>
          </w:p>
        </w:tc>
        <w:tc>
          <w:tcPr>
            <w:tcW w:w="3860" w:type="dxa"/>
            <w:tcMar>
              <w:top w:w="80" w:type="dxa"/>
              <w:left w:w="120" w:type="dxa"/>
              <w:bottom w:w="80" w:type="dxa"/>
              <w:right w:w="120" w:type="dxa"/>
            </w:tcMar>
            <w:vAlign w:val="center"/>
          </w:tcPr>
          <w:p w14:paraId="5C903EEF">
            <w:pPr>
              <w:jc w:val="left"/>
            </w:pPr>
            <w:r>
              <w:rPr>
                <w:rFonts w:ascii="微软雅黑" w:hAnsi="微软雅黑" w:eastAsia="微软雅黑"/>
              </w:rPr>
              <w:t>工具调用过程有日志，有失败提示，不再让用户自己查后台。</w:t>
            </w:r>
          </w:p>
        </w:tc>
      </w:tr>
      <w:tr w14:paraId="6F79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145F4947">
            <w:pPr>
              <w:jc w:val="left"/>
            </w:pPr>
            <w:r>
              <w:rPr>
                <w:rFonts w:ascii="微软雅黑" w:hAnsi="微软雅黑" w:eastAsia="微软雅黑"/>
              </w:rPr>
              <w:t>文件产物</w:t>
            </w:r>
          </w:p>
        </w:tc>
        <w:tc>
          <w:tcPr>
            <w:tcW w:w="4300" w:type="dxa"/>
            <w:tcMar>
              <w:top w:w="80" w:type="dxa"/>
              <w:left w:w="120" w:type="dxa"/>
              <w:bottom w:w="80" w:type="dxa"/>
              <w:right w:w="120" w:type="dxa"/>
            </w:tcMar>
            <w:vAlign w:val="center"/>
          </w:tcPr>
          <w:p w14:paraId="18D3D39F">
            <w:pPr>
              <w:jc w:val="left"/>
            </w:pPr>
            <w:r>
              <w:rPr>
                <w:rFonts w:ascii="微软雅黑" w:hAnsi="微软雅黑" w:eastAsia="微软雅黑"/>
              </w:rPr>
              <w:t>把任意表格结果导出 Excel，后续扩展为结算报告。</w:t>
            </w:r>
          </w:p>
        </w:tc>
        <w:tc>
          <w:tcPr>
            <w:tcW w:w="3860" w:type="dxa"/>
            <w:tcMar>
              <w:top w:w="80" w:type="dxa"/>
              <w:left w:w="120" w:type="dxa"/>
              <w:bottom w:w="80" w:type="dxa"/>
              <w:right w:w="120" w:type="dxa"/>
            </w:tcMar>
            <w:vAlign w:val="center"/>
          </w:tcPr>
          <w:p w14:paraId="1A96A943">
            <w:pPr>
              <w:jc w:val="left"/>
            </w:pPr>
            <w:r>
              <w:rPr>
                <w:rFonts w:ascii="微软雅黑" w:hAnsi="微软雅黑" w:eastAsia="微软雅黑"/>
              </w:rPr>
              <w:t>上一轮表格可直接导出并打开。</w:t>
            </w:r>
          </w:p>
        </w:tc>
      </w:tr>
      <w:tr w14:paraId="6A88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1DD19A10">
            <w:pPr>
              <w:jc w:val="left"/>
            </w:pPr>
            <w:r>
              <w:rPr>
                <w:rFonts w:ascii="微软雅黑" w:hAnsi="微软雅黑" w:eastAsia="微软雅黑"/>
              </w:rPr>
              <w:t>人工确认</w:t>
            </w:r>
          </w:p>
        </w:tc>
        <w:tc>
          <w:tcPr>
            <w:tcW w:w="4300" w:type="dxa"/>
            <w:tcMar>
              <w:top w:w="80" w:type="dxa"/>
              <w:left w:w="120" w:type="dxa"/>
              <w:bottom w:w="80" w:type="dxa"/>
              <w:right w:w="120" w:type="dxa"/>
            </w:tcMar>
            <w:vAlign w:val="center"/>
          </w:tcPr>
          <w:p w14:paraId="5C765101">
            <w:pPr>
              <w:jc w:val="left"/>
            </w:pPr>
            <w:r>
              <w:rPr>
                <w:rFonts w:ascii="微软雅黑" w:hAnsi="微软雅黑" w:eastAsia="微软雅黑"/>
              </w:rPr>
              <w:t>差异、金额、写入、发券、充值导入统一标记人工确认。</w:t>
            </w:r>
          </w:p>
        </w:tc>
        <w:tc>
          <w:tcPr>
            <w:tcW w:w="3860" w:type="dxa"/>
            <w:tcMar>
              <w:top w:w="80" w:type="dxa"/>
              <w:left w:w="120" w:type="dxa"/>
              <w:bottom w:w="80" w:type="dxa"/>
              <w:right w:w="120" w:type="dxa"/>
            </w:tcMar>
            <w:vAlign w:val="center"/>
          </w:tcPr>
          <w:p w14:paraId="6B91110C">
            <w:pPr>
              <w:jc w:val="left"/>
            </w:pPr>
            <w:r>
              <w:rPr>
                <w:rFonts w:ascii="微软雅黑" w:hAnsi="微软雅黑" w:eastAsia="微软雅黑"/>
              </w:rPr>
              <w:t>Agent 只给建议和待确认项，不擅自改业务系统。</w:t>
            </w:r>
          </w:p>
        </w:tc>
      </w:tr>
      <w:tr w14:paraId="63FF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0D08ADE6">
            <w:pPr>
              <w:jc w:val="left"/>
            </w:pPr>
            <w:r>
              <w:rPr>
                <w:rFonts w:ascii="微软雅黑" w:hAnsi="微软雅黑" w:eastAsia="微软雅黑"/>
              </w:rPr>
              <w:t>配置与权限</w:t>
            </w:r>
          </w:p>
        </w:tc>
        <w:tc>
          <w:tcPr>
            <w:tcW w:w="4300" w:type="dxa"/>
            <w:tcMar>
              <w:top w:w="80" w:type="dxa"/>
              <w:left w:w="120" w:type="dxa"/>
              <w:bottom w:w="80" w:type="dxa"/>
              <w:right w:w="120" w:type="dxa"/>
            </w:tcMar>
            <w:vAlign w:val="center"/>
          </w:tcPr>
          <w:p w14:paraId="5ED02B5B">
            <w:pPr>
              <w:jc w:val="left"/>
            </w:pPr>
            <w:r>
              <w:rPr>
                <w:rFonts w:ascii="微软雅黑" w:hAnsi="微软雅黑" w:eastAsia="微软雅黑"/>
              </w:rPr>
              <w:t>DeepSeek、数据库、MCP 配置集中在 MCP；顶级 admin 不强制租户 ID。</w:t>
            </w:r>
          </w:p>
        </w:tc>
        <w:tc>
          <w:tcPr>
            <w:tcW w:w="3860" w:type="dxa"/>
            <w:tcMar>
              <w:top w:w="80" w:type="dxa"/>
              <w:left w:w="120" w:type="dxa"/>
              <w:bottom w:w="80" w:type="dxa"/>
              <w:right w:w="120" w:type="dxa"/>
            </w:tcMar>
            <w:vAlign w:val="center"/>
          </w:tcPr>
          <w:p w14:paraId="5F6B23E5">
            <w:pPr>
              <w:jc w:val="left"/>
            </w:pPr>
            <w:r>
              <w:rPr>
                <w:rFonts w:ascii="微软雅黑" w:hAnsi="微软雅黑" w:eastAsia="微软雅黑"/>
              </w:rPr>
              <w:t>配置可持久化，重启后不反复输入。</w:t>
            </w:r>
          </w:p>
        </w:tc>
      </w:tr>
      <w:tr w14:paraId="00B5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tcMar>
              <w:top w:w="80" w:type="dxa"/>
              <w:left w:w="120" w:type="dxa"/>
              <w:bottom w:w="80" w:type="dxa"/>
              <w:right w:w="120" w:type="dxa"/>
            </w:tcMar>
            <w:vAlign w:val="center"/>
          </w:tcPr>
          <w:p w14:paraId="2DAB62E1">
            <w:pPr>
              <w:jc w:val="left"/>
            </w:pPr>
            <w:r>
              <w:rPr>
                <w:rFonts w:ascii="微软雅黑" w:hAnsi="微软雅黑" w:eastAsia="微软雅黑"/>
              </w:rPr>
              <w:t>日志追踪</w:t>
            </w:r>
          </w:p>
        </w:tc>
        <w:tc>
          <w:tcPr>
            <w:tcW w:w="4300" w:type="dxa"/>
            <w:tcMar>
              <w:top w:w="80" w:type="dxa"/>
              <w:left w:w="120" w:type="dxa"/>
              <w:bottom w:w="80" w:type="dxa"/>
              <w:right w:w="120" w:type="dxa"/>
            </w:tcMar>
            <w:vAlign w:val="center"/>
          </w:tcPr>
          <w:p w14:paraId="13408B33">
            <w:pPr>
              <w:jc w:val="left"/>
            </w:pPr>
            <w:r>
              <w:rPr>
                <w:rFonts w:ascii="微软雅黑" w:hAnsi="微软雅黑" w:eastAsia="微软雅黑"/>
              </w:rPr>
              <w:t>记录工具、SQL、导出文件、异常和耗时。</w:t>
            </w:r>
          </w:p>
        </w:tc>
        <w:tc>
          <w:tcPr>
            <w:tcW w:w="3860" w:type="dxa"/>
            <w:tcMar>
              <w:top w:w="80" w:type="dxa"/>
              <w:left w:w="120" w:type="dxa"/>
              <w:bottom w:w="80" w:type="dxa"/>
              <w:right w:w="120" w:type="dxa"/>
            </w:tcMar>
            <w:vAlign w:val="center"/>
          </w:tcPr>
          <w:p w14:paraId="09AADE6E">
            <w:pPr>
              <w:jc w:val="left"/>
            </w:pPr>
            <w:r>
              <w:rPr>
                <w:rFonts w:ascii="微软雅黑" w:hAnsi="微软雅黑" w:eastAsia="微软雅黑"/>
              </w:rPr>
              <w:t>出现错误时能定位是模型、SQL、数据库还是接口问题。</w:t>
            </w:r>
          </w:p>
        </w:tc>
      </w:tr>
    </w:tbl>
    <w:p w14:paraId="11C4AF2F"/>
    <w:p w14:paraId="775E392E">
      <w:pPr>
        <w:pStyle w:val="3"/>
      </w:pPr>
      <w:r>
        <w:rPr>
          <w:rFonts w:ascii="微软雅黑" w:hAnsi="微软雅黑" w:eastAsia="微软雅黑"/>
        </w:rPr>
        <w:t>5. 第一个业务需求：结算、充值、消费</w:t>
      </w:r>
    </w:p>
    <w:p w14:paraId="08EAE570">
      <w:r>
        <w:rPr>
          <w:rFonts w:ascii="微软雅黑" w:hAnsi="微软雅黑" w:eastAsia="微软雅黑"/>
        </w:rPr>
        <w:t>《结算.docx》，目前可拆成三个业务场景：</w:t>
      </w:r>
    </w:p>
    <w:p w14:paraId="32BF6092">
      <w:pPr>
        <w:pStyle w:val="4"/>
      </w:pPr>
      <w:r>
        <w:rPr>
          <w:rFonts w:ascii="微软雅黑" w:hAnsi="微软雅黑" w:eastAsia="微软雅黑"/>
        </w:rPr>
        <w:t>5.1 结算流程</w:t>
      </w:r>
    </w:p>
    <w:p w14:paraId="10B6201A">
      <w:pPr>
        <w:pStyle w:val="14"/>
      </w:pPr>
      <w:r>
        <w:rPr>
          <w:rFonts w:ascii="微软雅黑" w:hAnsi="微软雅黑" w:eastAsia="微软雅黑"/>
        </w:rPr>
        <w:t>平台生成结算报告，包含产品订单/商品费用、运费、积分抵扣、现金支付等数据。</w:t>
      </w:r>
    </w:p>
    <w:p w14:paraId="0C034C05">
      <w:pPr>
        <w:pStyle w:val="14"/>
      </w:pPr>
      <w:r>
        <w:rPr>
          <w:rFonts w:ascii="微软雅黑" w:hAnsi="微软雅黑" w:eastAsia="微软雅黑"/>
        </w:rPr>
        <w:t>补齐海博编码、商品编码、SKU 编码等业务字段。</w:t>
      </w:r>
    </w:p>
    <w:p w14:paraId="381DA961">
      <w:pPr>
        <w:pStyle w:val="14"/>
      </w:pPr>
      <w:r>
        <w:rPr>
          <w:rFonts w:ascii="微软雅黑" w:hAnsi="微软雅黑" w:eastAsia="微软雅黑"/>
        </w:rPr>
        <w:t>价格浮动或金额差异时只标记“需人工确认”，不自动修改系统。</w:t>
      </w:r>
    </w:p>
    <w:p w14:paraId="04BEBF11">
      <w:pPr>
        <w:pStyle w:val="14"/>
      </w:pPr>
      <w:r>
        <w:rPr>
          <w:rFonts w:ascii="微软雅黑" w:hAnsi="微软雅黑" w:eastAsia="微软雅黑"/>
        </w:rPr>
        <w:t>发送客户核对，之后打印盖章、开具电子发票、等待客户付款。</w:t>
      </w:r>
    </w:p>
    <w:p w14:paraId="10285F05">
      <w:pPr>
        <w:pStyle w:val="4"/>
      </w:pPr>
      <w:r>
        <w:rPr>
          <w:rFonts w:ascii="微软雅黑" w:hAnsi="微软雅黑" w:eastAsia="微软雅黑"/>
        </w:rPr>
        <w:t>5.2 充值流程</w:t>
      </w:r>
    </w:p>
    <w:p w14:paraId="6B5A630C">
      <w:pPr>
        <w:pStyle w:val="14"/>
      </w:pPr>
      <w:r>
        <w:rPr>
          <w:rFonts w:ascii="微软雅黑" w:hAnsi="微软雅黑" w:eastAsia="微软雅黑"/>
        </w:rPr>
        <w:t>从企业获取客户充值信息表。</w:t>
      </w:r>
    </w:p>
    <w:p w14:paraId="1A4D15A1">
      <w:pPr>
        <w:pStyle w:val="14"/>
      </w:pPr>
      <w:r>
        <w:rPr>
          <w:rFonts w:ascii="微软雅黑" w:hAnsi="微软雅黑" w:eastAsia="微软雅黑"/>
        </w:rPr>
        <w:t>Agent 辅助排错、匹配企业/员工/手机号/金额。</w:t>
      </w:r>
    </w:p>
    <w:p w14:paraId="50FAA440">
      <w:pPr>
        <w:pStyle w:val="14"/>
      </w:pPr>
      <w:r>
        <w:rPr>
          <w:rFonts w:ascii="微软雅黑" w:hAnsi="微软雅黑" w:eastAsia="微软雅黑"/>
        </w:rPr>
        <w:t>人工确认后导入业务系统。</w:t>
      </w:r>
    </w:p>
    <w:p w14:paraId="0CDC0294">
      <w:pPr>
        <w:pStyle w:val="14"/>
      </w:pPr>
      <w:r>
        <w:rPr>
          <w:rFonts w:ascii="微软雅黑" w:hAnsi="微软雅黑" w:eastAsia="微软雅黑"/>
        </w:rPr>
        <w:t>生成上账成功凭据和上账记录。</w:t>
      </w:r>
    </w:p>
    <w:p w14:paraId="213AA306">
      <w:pPr>
        <w:pStyle w:val="4"/>
      </w:pPr>
      <w:r>
        <w:rPr>
          <w:rFonts w:ascii="微软雅黑" w:hAnsi="微软雅黑" w:eastAsia="微软雅黑"/>
        </w:rPr>
        <w:t>5.3 消费履约流程</w:t>
      </w:r>
    </w:p>
    <w:p w14:paraId="0C548AC6">
      <w:pPr>
        <w:pStyle w:val="14"/>
      </w:pPr>
      <w:r>
        <w:rPr>
          <w:rFonts w:ascii="微软雅黑" w:hAnsi="微软雅黑" w:eastAsia="微软雅黑"/>
        </w:rPr>
        <w:t>C 端用户即时发货配送。</w:t>
      </w:r>
    </w:p>
    <w:p w14:paraId="3C803565">
      <w:pPr>
        <w:pStyle w:val="14"/>
      </w:pPr>
      <w:r>
        <w:rPr>
          <w:rFonts w:ascii="微软雅黑" w:hAnsi="微软雅黑" w:eastAsia="微软雅黑"/>
        </w:rPr>
        <w:t>企业用户统一发货，非及时性发货需要导出订单并按仓库分配。</w:t>
      </w:r>
    </w:p>
    <w:p w14:paraId="67FDA517">
      <w:pPr>
        <w:pStyle w:val="14"/>
      </w:pPr>
      <w:r>
        <w:rPr>
          <w:rFonts w:ascii="微软雅黑" w:hAnsi="微软雅黑" w:eastAsia="微软雅黑"/>
        </w:rPr>
        <w:t>联系供应商配合入库，再选择闪送、物流快递等配送方式。</w:t>
      </w:r>
    </w:p>
    <w:p w14:paraId="01E75BB4">
      <w:pPr>
        <w:pStyle w:val="3"/>
      </w:pPr>
      <w:r>
        <w:rPr>
          <w:rFonts w:ascii="微软雅黑" w:hAnsi="微软雅黑" w:eastAsia="微软雅黑"/>
        </w:rPr>
        <w:t>6. 结算 Agent 功能拆解</w:t>
      </w:r>
    </w:p>
    <w:tbl>
      <w:tblPr>
        <w:tblStyle w:val="33"/>
        <w:tblW w:w="937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3350"/>
        <w:gridCol w:w="2300"/>
        <w:gridCol w:w="2270"/>
      </w:tblGrid>
      <w:tr w14:paraId="7717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shd w:val="clear" w:color="auto" w:fill="F2F4F7"/>
            <w:tcMar>
              <w:top w:w="80" w:type="dxa"/>
              <w:left w:w="120" w:type="dxa"/>
              <w:bottom w:w="80" w:type="dxa"/>
              <w:right w:w="120" w:type="dxa"/>
            </w:tcMar>
            <w:vAlign w:val="center"/>
          </w:tcPr>
          <w:p w14:paraId="323181B3">
            <w:pPr>
              <w:jc w:val="center"/>
            </w:pPr>
            <w:r>
              <w:rPr>
                <w:rFonts w:ascii="微软雅黑" w:hAnsi="微软雅黑" w:eastAsia="微软雅黑"/>
                <w:b/>
                <w:color w:val="0B2545"/>
              </w:rPr>
              <w:t>子能力</w:t>
            </w:r>
          </w:p>
        </w:tc>
        <w:tc>
          <w:tcPr>
            <w:tcW w:w="3350" w:type="dxa"/>
            <w:shd w:val="clear" w:color="auto" w:fill="F2F4F7"/>
            <w:tcMar>
              <w:top w:w="80" w:type="dxa"/>
              <w:left w:w="120" w:type="dxa"/>
              <w:bottom w:w="80" w:type="dxa"/>
              <w:right w:w="120" w:type="dxa"/>
            </w:tcMar>
            <w:vAlign w:val="center"/>
          </w:tcPr>
          <w:p w14:paraId="7351EA5F">
            <w:pPr>
              <w:jc w:val="center"/>
            </w:pPr>
            <w:r>
              <w:rPr>
                <w:rFonts w:ascii="微软雅黑" w:hAnsi="微软雅黑" w:eastAsia="微软雅黑"/>
                <w:b/>
                <w:color w:val="0B2545"/>
              </w:rPr>
              <w:t>Agent 需要做的事</w:t>
            </w:r>
          </w:p>
        </w:tc>
        <w:tc>
          <w:tcPr>
            <w:tcW w:w="2300" w:type="dxa"/>
            <w:shd w:val="clear" w:color="auto" w:fill="F2F4F7"/>
            <w:tcMar>
              <w:top w:w="80" w:type="dxa"/>
              <w:left w:w="120" w:type="dxa"/>
              <w:bottom w:w="80" w:type="dxa"/>
              <w:right w:w="120" w:type="dxa"/>
            </w:tcMar>
            <w:vAlign w:val="center"/>
          </w:tcPr>
          <w:p w14:paraId="361D9AD4">
            <w:pPr>
              <w:jc w:val="center"/>
            </w:pPr>
            <w:r>
              <w:rPr>
                <w:rFonts w:ascii="微软雅黑" w:hAnsi="微软雅黑" w:eastAsia="微软雅黑"/>
                <w:b/>
                <w:color w:val="0B2545"/>
              </w:rPr>
              <w:t>输出产物</w:t>
            </w:r>
          </w:p>
        </w:tc>
        <w:tc>
          <w:tcPr>
            <w:tcW w:w="2270" w:type="dxa"/>
            <w:shd w:val="clear" w:color="auto" w:fill="F2F4F7"/>
            <w:tcMar>
              <w:top w:w="80" w:type="dxa"/>
              <w:left w:w="120" w:type="dxa"/>
              <w:bottom w:w="80" w:type="dxa"/>
              <w:right w:w="120" w:type="dxa"/>
            </w:tcMar>
            <w:vAlign w:val="center"/>
          </w:tcPr>
          <w:p w14:paraId="72E85971">
            <w:pPr>
              <w:jc w:val="center"/>
            </w:pPr>
            <w:r>
              <w:rPr>
                <w:rFonts w:ascii="微软雅黑" w:hAnsi="微软雅黑" w:eastAsia="微软雅黑"/>
                <w:b/>
                <w:color w:val="0B2545"/>
              </w:rPr>
              <w:t>人工确认</w:t>
            </w:r>
          </w:p>
        </w:tc>
      </w:tr>
      <w:tr w14:paraId="78DC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689B1D68">
            <w:pPr>
              <w:jc w:val="left"/>
            </w:pPr>
            <w:r>
              <w:rPr>
                <w:rFonts w:ascii="微软雅黑" w:hAnsi="微软雅黑" w:eastAsia="微软雅黑"/>
              </w:rPr>
              <w:t>月结企业识别</w:t>
            </w:r>
          </w:p>
        </w:tc>
        <w:tc>
          <w:tcPr>
            <w:tcW w:w="3350" w:type="dxa"/>
            <w:tcMar>
              <w:top w:w="80" w:type="dxa"/>
              <w:left w:w="120" w:type="dxa"/>
              <w:bottom w:w="80" w:type="dxa"/>
              <w:right w:w="120" w:type="dxa"/>
            </w:tcMar>
            <w:vAlign w:val="center"/>
          </w:tcPr>
          <w:p w14:paraId="571F591C">
            <w:pPr>
              <w:jc w:val="left"/>
            </w:pPr>
            <w:r>
              <w:rPr>
                <w:rFonts w:ascii="微软雅黑" w:hAnsi="微软雅黑" w:eastAsia="微软雅黑"/>
              </w:rPr>
              <w:t>识别铜仁移动、招商银行贵阳分行、中数未来等月结企业，匹配 channelId/channelNo。</w:t>
            </w:r>
          </w:p>
        </w:tc>
        <w:tc>
          <w:tcPr>
            <w:tcW w:w="2300" w:type="dxa"/>
            <w:tcMar>
              <w:top w:w="80" w:type="dxa"/>
              <w:left w:w="120" w:type="dxa"/>
              <w:bottom w:w="80" w:type="dxa"/>
              <w:right w:w="120" w:type="dxa"/>
            </w:tcMar>
            <w:vAlign w:val="center"/>
          </w:tcPr>
          <w:p w14:paraId="30DB84C5">
            <w:pPr>
              <w:jc w:val="left"/>
            </w:pPr>
            <w:r>
              <w:rPr>
                <w:rFonts w:ascii="微软雅黑" w:hAnsi="微软雅黑" w:eastAsia="微软雅黑"/>
              </w:rPr>
              <w:t>月结企业清单。</w:t>
            </w:r>
          </w:p>
        </w:tc>
        <w:tc>
          <w:tcPr>
            <w:tcW w:w="2270" w:type="dxa"/>
            <w:tcMar>
              <w:top w:w="80" w:type="dxa"/>
              <w:left w:w="120" w:type="dxa"/>
              <w:bottom w:w="80" w:type="dxa"/>
              <w:right w:w="120" w:type="dxa"/>
            </w:tcMar>
            <w:vAlign w:val="center"/>
          </w:tcPr>
          <w:p w14:paraId="60BF010F">
            <w:pPr>
              <w:jc w:val="left"/>
            </w:pPr>
            <w:r>
              <w:rPr>
                <w:rFonts w:ascii="微软雅黑" w:hAnsi="微软雅黑" w:eastAsia="微软雅黑"/>
              </w:rPr>
              <w:t>企业范围变化时确认。</w:t>
            </w:r>
          </w:p>
        </w:tc>
      </w:tr>
      <w:tr w14:paraId="69D5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4C8189D6">
            <w:pPr>
              <w:jc w:val="left"/>
            </w:pPr>
            <w:r>
              <w:rPr>
                <w:rFonts w:ascii="微软雅黑" w:hAnsi="微软雅黑" w:eastAsia="微软雅黑"/>
              </w:rPr>
              <w:t>月份选择</w:t>
            </w:r>
          </w:p>
        </w:tc>
        <w:tc>
          <w:tcPr>
            <w:tcW w:w="3350" w:type="dxa"/>
            <w:tcMar>
              <w:top w:w="80" w:type="dxa"/>
              <w:left w:w="120" w:type="dxa"/>
              <w:bottom w:w="80" w:type="dxa"/>
              <w:right w:w="120" w:type="dxa"/>
            </w:tcMar>
            <w:vAlign w:val="center"/>
          </w:tcPr>
          <w:p w14:paraId="29C38A9A">
            <w:pPr>
              <w:jc w:val="left"/>
            </w:pPr>
            <w:r>
              <w:rPr>
                <w:rFonts w:ascii="微软雅黑" w:hAnsi="微软雅黑" w:eastAsia="微软雅黑"/>
              </w:rPr>
              <w:t>由管理员选择月份，自动计算开始/结束时间。</w:t>
            </w:r>
          </w:p>
        </w:tc>
        <w:tc>
          <w:tcPr>
            <w:tcW w:w="2300" w:type="dxa"/>
            <w:tcMar>
              <w:top w:w="80" w:type="dxa"/>
              <w:left w:w="120" w:type="dxa"/>
              <w:bottom w:w="80" w:type="dxa"/>
              <w:right w:w="120" w:type="dxa"/>
            </w:tcMar>
            <w:vAlign w:val="center"/>
          </w:tcPr>
          <w:p w14:paraId="49510304">
            <w:pPr>
              <w:jc w:val="left"/>
            </w:pPr>
            <w:r>
              <w:rPr>
                <w:rFonts w:ascii="微软雅黑" w:hAnsi="微软雅黑" w:eastAsia="微软雅黑"/>
              </w:rPr>
              <w:t>结算月份和筛选条件。</w:t>
            </w:r>
          </w:p>
        </w:tc>
        <w:tc>
          <w:tcPr>
            <w:tcW w:w="2270" w:type="dxa"/>
            <w:tcMar>
              <w:top w:w="80" w:type="dxa"/>
              <w:left w:w="120" w:type="dxa"/>
              <w:bottom w:w="80" w:type="dxa"/>
              <w:right w:w="120" w:type="dxa"/>
            </w:tcMar>
            <w:vAlign w:val="center"/>
          </w:tcPr>
          <w:p w14:paraId="1139D71B">
            <w:pPr>
              <w:jc w:val="left"/>
            </w:pPr>
            <w:r>
              <w:rPr>
                <w:rFonts w:ascii="微软雅黑" w:hAnsi="微软雅黑" w:eastAsia="微软雅黑"/>
              </w:rPr>
              <w:t>跨月、补单时确认。</w:t>
            </w:r>
          </w:p>
        </w:tc>
      </w:tr>
      <w:tr w14:paraId="6CC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51986BE1">
            <w:pPr>
              <w:jc w:val="left"/>
            </w:pPr>
            <w:r>
              <w:rPr>
                <w:rFonts w:ascii="微软雅黑" w:hAnsi="微软雅黑" w:eastAsia="微软雅黑"/>
              </w:rPr>
              <w:t>数据导出</w:t>
            </w:r>
          </w:p>
        </w:tc>
        <w:tc>
          <w:tcPr>
            <w:tcW w:w="3350" w:type="dxa"/>
            <w:tcMar>
              <w:top w:w="80" w:type="dxa"/>
              <w:left w:w="120" w:type="dxa"/>
              <w:bottom w:w="80" w:type="dxa"/>
              <w:right w:w="120" w:type="dxa"/>
            </w:tcMar>
            <w:vAlign w:val="center"/>
          </w:tcPr>
          <w:p w14:paraId="0AF23D63">
            <w:pPr>
              <w:jc w:val="left"/>
            </w:pPr>
            <w:r>
              <w:rPr>
                <w:rFonts w:ascii="微软雅黑" w:hAnsi="微软雅黑" w:eastAsia="微软雅黑"/>
              </w:rPr>
              <w:t>调用员工列表、订单表、商品订单、运费账单、对账汇总模板等接口。</w:t>
            </w:r>
          </w:p>
        </w:tc>
        <w:tc>
          <w:tcPr>
            <w:tcW w:w="2300" w:type="dxa"/>
            <w:tcMar>
              <w:top w:w="80" w:type="dxa"/>
              <w:left w:w="120" w:type="dxa"/>
              <w:bottom w:w="80" w:type="dxa"/>
              <w:right w:w="120" w:type="dxa"/>
            </w:tcMar>
            <w:vAlign w:val="center"/>
          </w:tcPr>
          <w:p w14:paraId="42C52AEA">
            <w:pPr>
              <w:jc w:val="left"/>
            </w:pPr>
            <w:r>
              <w:rPr>
                <w:rFonts w:ascii="微软雅黑" w:hAnsi="微软雅黑" w:eastAsia="微软雅黑"/>
              </w:rPr>
              <w:t>原始导出表。</w:t>
            </w:r>
          </w:p>
        </w:tc>
        <w:tc>
          <w:tcPr>
            <w:tcW w:w="2270" w:type="dxa"/>
            <w:tcMar>
              <w:top w:w="80" w:type="dxa"/>
              <w:left w:w="120" w:type="dxa"/>
              <w:bottom w:w="80" w:type="dxa"/>
              <w:right w:w="120" w:type="dxa"/>
            </w:tcMar>
            <w:vAlign w:val="center"/>
          </w:tcPr>
          <w:p w14:paraId="349F4582">
            <w:pPr>
              <w:jc w:val="left"/>
            </w:pPr>
            <w:r>
              <w:rPr>
                <w:rFonts w:ascii="微软雅黑" w:hAnsi="微软雅黑" w:eastAsia="微软雅黑"/>
              </w:rPr>
              <w:t>接口失败或字段缺失时确认。</w:t>
            </w:r>
          </w:p>
        </w:tc>
      </w:tr>
      <w:tr w14:paraId="476C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1F83C639">
            <w:pPr>
              <w:jc w:val="left"/>
            </w:pPr>
            <w:r>
              <w:rPr>
                <w:rFonts w:ascii="微软雅黑" w:hAnsi="微软雅黑" w:eastAsia="微软雅黑"/>
              </w:rPr>
              <w:t>数据补齐</w:t>
            </w:r>
          </w:p>
        </w:tc>
        <w:tc>
          <w:tcPr>
            <w:tcW w:w="3350" w:type="dxa"/>
            <w:tcMar>
              <w:top w:w="80" w:type="dxa"/>
              <w:left w:w="120" w:type="dxa"/>
              <w:bottom w:w="80" w:type="dxa"/>
              <w:right w:w="120" w:type="dxa"/>
            </w:tcMar>
            <w:vAlign w:val="center"/>
          </w:tcPr>
          <w:p w14:paraId="55E7742E">
            <w:pPr>
              <w:jc w:val="left"/>
            </w:pPr>
            <w:r>
              <w:rPr>
                <w:rFonts w:ascii="微软雅黑" w:hAnsi="微软雅黑" w:eastAsia="微软雅黑"/>
              </w:rPr>
              <w:t>从商品表补齐商品编码、SKU、海博编码等。</w:t>
            </w:r>
          </w:p>
        </w:tc>
        <w:tc>
          <w:tcPr>
            <w:tcW w:w="2300" w:type="dxa"/>
            <w:tcMar>
              <w:top w:w="80" w:type="dxa"/>
              <w:left w:w="120" w:type="dxa"/>
              <w:bottom w:w="80" w:type="dxa"/>
              <w:right w:w="120" w:type="dxa"/>
            </w:tcMar>
            <w:vAlign w:val="center"/>
          </w:tcPr>
          <w:p w14:paraId="4A253D82">
            <w:pPr>
              <w:jc w:val="left"/>
            </w:pPr>
            <w:r>
              <w:rPr>
                <w:rFonts w:ascii="微软雅黑" w:hAnsi="微软雅黑" w:eastAsia="微软雅黑"/>
              </w:rPr>
              <w:t>补齐后的订单/商品明细。</w:t>
            </w:r>
          </w:p>
        </w:tc>
        <w:tc>
          <w:tcPr>
            <w:tcW w:w="2270" w:type="dxa"/>
            <w:tcMar>
              <w:top w:w="80" w:type="dxa"/>
              <w:left w:w="120" w:type="dxa"/>
              <w:bottom w:w="80" w:type="dxa"/>
              <w:right w:w="120" w:type="dxa"/>
            </w:tcMar>
            <w:vAlign w:val="center"/>
          </w:tcPr>
          <w:p w14:paraId="77711646">
            <w:pPr>
              <w:jc w:val="left"/>
            </w:pPr>
            <w:r>
              <w:rPr>
                <w:rFonts w:ascii="微软雅黑" w:hAnsi="微软雅黑" w:eastAsia="微软雅黑"/>
              </w:rPr>
              <w:t>商品匹配不唯一时确认。</w:t>
            </w:r>
          </w:p>
        </w:tc>
      </w:tr>
      <w:tr w14:paraId="1F1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384958A6">
            <w:pPr>
              <w:jc w:val="left"/>
            </w:pPr>
            <w:r>
              <w:rPr>
                <w:rFonts w:ascii="微软雅黑" w:hAnsi="微软雅黑" w:eastAsia="微软雅黑"/>
              </w:rPr>
              <w:t>汇总核对</w:t>
            </w:r>
          </w:p>
        </w:tc>
        <w:tc>
          <w:tcPr>
            <w:tcW w:w="3350" w:type="dxa"/>
            <w:tcMar>
              <w:top w:w="80" w:type="dxa"/>
              <w:left w:w="120" w:type="dxa"/>
              <w:bottom w:w="80" w:type="dxa"/>
              <w:right w:w="120" w:type="dxa"/>
            </w:tcMar>
            <w:vAlign w:val="center"/>
          </w:tcPr>
          <w:p w14:paraId="18568BC7">
            <w:pPr>
              <w:jc w:val="left"/>
            </w:pPr>
            <w:r>
              <w:rPr>
                <w:rFonts w:ascii="微软雅黑" w:hAnsi="微软雅黑" w:eastAsia="微软雅黑"/>
              </w:rPr>
              <w:t>计算商品总额、运费、积分抵扣、现金支付、差异。</w:t>
            </w:r>
          </w:p>
        </w:tc>
        <w:tc>
          <w:tcPr>
            <w:tcW w:w="2300" w:type="dxa"/>
            <w:tcMar>
              <w:top w:w="80" w:type="dxa"/>
              <w:left w:w="120" w:type="dxa"/>
              <w:bottom w:w="80" w:type="dxa"/>
              <w:right w:w="120" w:type="dxa"/>
            </w:tcMar>
            <w:vAlign w:val="center"/>
          </w:tcPr>
          <w:p w14:paraId="44050225">
            <w:pPr>
              <w:jc w:val="left"/>
            </w:pPr>
            <w:r>
              <w:rPr>
                <w:rFonts w:ascii="微软雅黑" w:hAnsi="微软雅黑" w:eastAsia="微软雅黑"/>
              </w:rPr>
              <w:t>结算汇总表和蓝色核对区。</w:t>
            </w:r>
          </w:p>
        </w:tc>
        <w:tc>
          <w:tcPr>
            <w:tcW w:w="2270" w:type="dxa"/>
            <w:tcMar>
              <w:top w:w="80" w:type="dxa"/>
              <w:left w:w="120" w:type="dxa"/>
              <w:bottom w:w="80" w:type="dxa"/>
              <w:right w:w="120" w:type="dxa"/>
            </w:tcMar>
            <w:vAlign w:val="center"/>
          </w:tcPr>
          <w:p w14:paraId="44200D3E">
            <w:pPr>
              <w:jc w:val="left"/>
            </w:pPr>
            <w:r>
              <w:rPr>
                <w:rFonts w:ascii="微软雅黑" w:hAnsi="微软雅黑" w:eastAsia="微软雅黑"/>
              </w:rPr>
              <w:t>任意差异非 0 时确认。</w:t>
            </w:r>
          </w:p>
        </w:tc>
      </w:tr>
      <w:tr w14:paraId="0DAB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30808A13">
            <w:pPr>
              <w:jc w:val="left"/>
            </w:pPr>
            <w:r>
              <w:rPr>
                <w:rFonts w:ascii="微软雅黑" w:hAnsi="微软雅黑" w:eastAsia="微软雅黑"/>
              </w:rPr>
              <w:t>报告生成</w:t>
            </w:r>
          </w:p>
        </w:tc>
        <w:tc>
          <w:tcPr>
            <w:tcW w:w="3350" w:type="dxa"/>
            <w:tcMar>
              <w:top w:w="80" w:type="dxa"/>
              <w:left w:w="120" w:type="dxa"/>
              <w:bottom w:w="80" w:type="dxa"/>
              <w:right w:w="120" w:type="dxa"/>
            </w:tcMar>
            <w:vAlign w:val="center"/>
          </w:tcPr>
          <w:p w14:paraId="26237DF8">
            <w:pPr>
              <w:jc w:val="left"/>
            </w:pPr>
            <w:r>
              <w:rPr>
                <w:rFonts w:ascii="微软雅黑" w:hAnsi="微软雅黑" w:eastAsia="微软雅黑"/>
              </w:rPr>
              <w:t>生成客户可核对的结算报告。</w:t>
            </w:r>
          </w:p>
        </w:tc>
        <w:tc>
          <w:tcPr>
            <w:tcW w:w="2300" w:type="dxa"/>
            <w:tcMar>
              <w:top w:w="80" w:type="dxa"/>
              <w:left w:w="120" w:type="dxa"/>
              <w:bottom w:w="80" w:type="dxa"/>
              <w:right w:w="120" w:type="dxa"/>
            </w:tcMar>
            <w:vAlign w:val="center"/>
          </w:tcPr>
          <w:p w14:paraId="4B1501D6">
            <w:pPr>
              <w:jc w:val="left"/>
            </w:pPr>
            <w:r>
              <w:rPr>
                <w:rFonts w:ascii="微软雅黑" w:hAnsi="微软雅黑" w:eastAsia="微软雅黑"/>
              </w:rPr>
              <w:t>Excel/Word/PDF 结算报告。</w:t>
            </w:r>
          </w:p>
        </w:tc>
        <w:tc>
          <w:tcPr>
            <w:tcW w:w="2270" w:type="dxa"/>
            <w:tcMar>
              <w:top w:w="80" w:type="dxa"/>
              <w:left w:w="120" w:type="dxa"/>
              <w:bottom w:w="80" w:type="dxa"/>
              <w:right w:w="120" w:type="dxa"/>
            </w:tcMar>
            <w:vAlign w:val="center"/>
          </w:tcPr>
          <w:p w14:paraId="52D16272">
            <w:pPr>
              <w:jc w:val="left"/>
            </w:pPr>
            <w:r>
              <w:rPr>
                <w:rFonts w:ascii="微软雅黑" w:hAnsi="微软雅黑" w:eastAsia="微软雅黑"/>
              </w:rPr>
              <w:t>发送客户前确认。</w:t>
            </w:r>
          </w:p>
        </w:tc>
      </w:tr>
      <w:tr w14:paraId="0F182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Mar>
              <w:top w:w="80" w:type="dxa"/>
              <w:left w:w="120" w:type="dxa"/>
              <w:bottom w:w="80" w:type="dxa"/>
              <w:right w:w="120" w:type="dxa"/>
            </w:tcMar>
            <w:vAlign w:val="center"/>
          </w:tcPr>
          <w:p w14:paraId="5D00EABB">
            <w:pPr>
              <w:jc w:val="left"/>
            </w:pPr>
            <w:r>
              <w:rPr>
                <w:rFonts w:ascii="微软雅黑" w:hAnsi="微软雅黑" w:eastAsia="微软雅黑"/>
              </w:rPr>
              <w:t>状态记录</w:t>
            </w:r>
          </w:p>
        </w:tc>
        <w:tc>
          <w:tcPr>
            <w:tcW w:w="3350" w:type="dxa"/>
            <w:tcMar>
              <w:top w:w="80" w:type="dxa"/>
              <w:left w:w="120" w:type="dxa"/>
              <w:bottom w:w="80" w:type="dxa"/>
              <w:right w:w="120" w:type="dxa"/>
            </w:tcMar>
            <w:vAlign w:val="center"/>
          </w:tcPr>
          <w:p w14:paraId="372CBFB6">
            <w:pPr>
              <w:jc w:val="left"/>
            </w:pPr>
            <w:r>
              <w:rPr>
                <w:rFonts w:ascii="微软雅黑" w:hAnsi="微软雅黑" w:eastAsia="微软雅黑"/>
              </w:rPr>
              <w:t>记录待客户核对、待盖章、待开票、待付款、已完成。</w:t>
            </w:r>
          </w:p>
        </w:tc>
        <w:tc>
          <w:tcPr>
            <w:tcW w:w="2300" w:type="dxa"/>
            <w:tcMar>
              <w:top w:w="80" w:type="dxa"/>
              <w:left w:w="120" w:type="dxa"/>
              <w:bottom w:w="80" w:type="dxa"/>
              <w:right w:w="120" w:type="dxa"/>
            </w:tcMar>
            <w:vAlign w:val="center"/>
          </w:tcPr>
          <w:p w14:paraId="0738CC10">
            <w:pPr>
              <w:jc w:val="left"/>
            </w:pPr>
            <w:r>
              <w:rPr>
                <w:rFonts w:ascii="微软雅黑" w:hAnsi="微软雅黑" w:eastAsia="微软雅黑"/>
              </w:rPr>
              <w:t>结算状态和提醒。</w:t>
            </w:r>
          </w:p>
        </w:tc>
        <w:tc>
          <w:tcPr>
            <w:tcW w:w="2270" w:type="dxa"/>
            <w:tcMar>
              <w:top w:w="80" w:type="dxa"/>
              <w:left w:w="120" w:type="dxa"/>
              <w:bottom w:w="80" w:type="dxa"/>
              <w:right w:w="120" w:type="dxa"/>
            </w:tcMar>
            <w:vAlign w:val="center"/>
          </w:tcPr>
          <w:p w14:paraId="7BD116D3">
            <w:pPr>
              <w:jc w:val="left"/>
            </w:pPr>
            <w:r>
              <w:rPr>
                <w:rFonts w:ascii="微软雅黑" w:hAnsi="微软雅黑" w:eastAsia="微软雅黑"/>
              </w:rPr>
              <w:t>状态变更确认。</w:t>
            </w:r>
          </w:p>
        </w:tc>
      </w:tr>
    </w:tbl>
    <w:p w14:paraId="456D47DA"/>
    <w:p w14:paraId="4D727135">
      <w:pPr>
        <w:pStyle w:val="3"/>
      </w:pPr>
      <w:r>
        <w:rPr>
          <w:rFonts w:ascii="微软雅黑" w:hAnsi="微软雅黑" w:eastAsia="微软雅黑"/>
        </w:rPr>
        <w:t>7. 落地路线</w:t>
      </w:r>
    </w:p>
    <w:tbl>
      <w:tblPr>
        <w:tblStyle w:val="33"/>
        <w:tblW w:w="936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3300"/>
        <w:gridCol w:w="4560"/>
      </w:tblGrid>
      <w:tr w14:paraId="31DE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shd w:val="clear" w:color="auto" w:fill="F2F4F7"/>
            <w:tcMar>
              <w:top w:w="80" w:type="dxa"/>
              <w:left w:w="120" w:type="dxa"/>
              <w:bottom w:w="80" w:type="dxa"/>
              <w:right w:w="120" w:type="dxa"/>
            </w:tcMar>
            <w:vAlign w:val="center"/>
          </w:tcPr>
          <w:p w14:paraId="61300C63">
            <w:pPr>
              <w:jc w:val="center"/>
            </w:pPr>
            <w:r>
              <w:rPr>
                <w:rFonts w:ascii="微软雅黑" w:hAnsi="微软雅黑" w:eastAsia="微软雅黑"/>
                <w:b/>
                <w:color w:val="0B2545"/>
              </w:rPr>
              <w:t>阶段</w:t>
            </w:r>
          </w:p>
        </w:tc>
        <w:tc>
          <w:tcPr>
            <w:tcW w:w="3300" w:type="dxa"/>
            <w:shd w:val="clear" w:color="auto" w:fill="F2F4F7"/>
            <w:tcMar>
              <w:top w:w="80" w:type="dxa"/>
              <w:left w:w="120" w:type="dxa"/>
              <w:bottom w:w="80" w:type="dxa"/>
              <w:right w:w="120" w:type="dxa"/>
            </w:tcMar>
            <w:vAlign w:val="center"/>
          </w:tcPr>
          <w:p w14:paraId="6DDE6171">
            <w:pPr>
              <w:jc w:val="center"/>
            </w:pPr>
            <w:r>
              <w:rPr>
                <w:rFonts w:ascii="微软雅黑" w:hAnsi="微软雅黑" w:eastAsia="微软雅黑"/>
                <w:b/>
                <w:color w:val="0B2545"/>
              </w:rPr>
              <w:t>目标</w:t>
            </w:r>
          </w:p>
        </w:tc>
        <w:tc>
          <w:tcPr>
            <w:tcW w:w="4560" w:type="dxa"/>
            <w:shd w:val="clear" w:color="auto" w:fill="F2F4F7"/>
            <w:tcMar>
              <w:top w:w="80" w:type="dxa"/>
              <w:left w:w="120" w:type="dxa"/>
              <w:bottom w:w="80" w:type="dxa"/>
              <w:right w:w="120" w:type="dxa"/>
            </w:tcMar>
            <w:vAlign w:val="center"/>
          </w:tcPr>
          <w:p w14:paraId="5A1E59BB">
            <w:pPr>
              <w:jc w:val="center"/>
            </w:pPr>
            <w:r>
              <w:rPr>
                <w:rFonts w:ascii="微软雅黑" w:hAnsi="微软雅黑" w:eastAsia="微软雅黑"/>
                <w:b/>
                <w:color w:val="0B2545"/>
              </w:rPr>
              <w:t>交付内容</w:t>
            </w:r>
          </w:p>
        </w:tc>
      </w:tr>
      <w:tr w14:paraId="359B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Mar>
              <w:top w:w="80" w:type="dxa"/>
              <w:left w:w="120" w:type="dxa"/>
              <w:bottom w:w="80" w:type="dxa"/>
              <w:right w:w="120" w:type="dxa"/>
            </w:tcMar>
            <w:vAlign w:val="center"/>
          </w:tcPr>
          <w:p w14:paraId="55A21E0F">
            <w:pPr>
              <w:jc w:val="left"/>
            </w:pPr>
            <w:r>
              <w:rPr>
                <w:rFonts w:ascii="微软雅黑" w:hAnsi="微软雅黑" w:eastAsia="微软雅黑"/>
              </w:rPr>
              <w:t>阶段 1：Agent 底座稳定</w:t>
            </w:r>
          </w:p>
        </w:tc>
        <w:tc>
          <w:tcPr>
            <w:tcW w:w="3300" w:type="dxa"/>
            <w:tcMar>
              <w:top w:w="80" w:type="dxa"/>
              <w:left w:w="120" w:type="dxa"/>
              <w:bottom w:w="80" w:type="dxa"/>
              <w:right w:w="120" w:type="dxa"/>
            </w:tcMar>
            <w:vAlign w:val="center"/>
          </w:tcPr>
          <w:p w14:paraId="7A0E8C1F">
            <w:pPr>
              <w:jc w:val="left"/>
            </w:pPr>
            <w:r>
              <w:rPr>
                <w:rFonts w:ascii="微软雅黑" w:hAnsi="微软雅黑" w:eastAsia="微软雅黑"/>
              </w:rPr>
              <w:t>让业务查询不再依赖固定任务匹配。</w:t>
            </w:r>
          </w:p>
        </w:tc>
        <w:tc>
          <w:tcPr>
            <w:tcW w:w="4560" w:type="dxa"/>
            <w:tcMar>
              <w:top w:w="80" w:type="dxa"/>
              <w:left w:w="120" w:type="dxa"/>
              <w:bottom w:w="80" w:type="dxa"/>
              <w:right w:w="120" w:type="dxa"/>
            </w:tcMar>
            <w:vAlign w:val="center"/>
          </w:tcPr>
          <w:p w14:paraId="373CCD2E">
            <w:pPr>
              <w:jc w:val="left"/>
            </w:pPr>
            <w:r>
              <w:rPr>
                <w:rFonts w:ascii="微软雅黑" w:hAnsi="微软雅黑" w:eastAsia="微软雅黑"/>
              </w:rPr>
              <w:t>多步 Agent loop、smart query、schema 工具、通用表格导出。</w:t>
            </w:r>
          </w:p>
        </w:tc>
      </w:tr>
      <w:tr w14:paraId="5821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Mar>
              <w:top w:w="80" w:type="dxa"/>
              <w:left w:w="120" w:type="dxa"/>
              <w:bottom w:w="80" w:type="dxa"/>
              <w:right w:w="120" w:type="dxa"/>
            </w:tcMar>
            <w:vAlign w:val="center"/>
          </w:tcPr>
          <w:p w14:paraId="2D4D1619">
            <w:pPr>
              <w:jc w:val="left"/>
            </w:pPr>
            <w:r>
              <w:rPr>
                <w:rFonts w:ascii="微软雅黑" w:hAnsi="微软雅黑" w:eastAsia="微软雅黑"/>
              </w:rPr>
              <w:t>阶段 2：结算场景跑通</w:t>
            </w:r>
          </w:p>
        </w:tc>
        <w:tc>
          <w:tcPr>
            <w:tcW w:w="3300" w:type="dxa"/>
            <w:tcMar>
              <w:top w:w="80" w:type="dxa"/>
              <w:left w:w="120" w:type="dxa"/>
              <w:bottom w:w="80" w:type="dxa"/>
              <w:right w:w="120" w:type="dxa"/>
            </w:tcMar>
            <w:vAlign w:val="center"/>
          </w:tcPr>
          <w:p w14:paraId="4345E465">
            <w:pPr>
              <w:jc w:val="left"/>
            </w:pPr>
            <w:r>
              <w:rPr>
                <w:rFonts w:ascii="微软雅黑" w:hAnsi="微软雅黑" w:eastAsia="微软雅黑"/>
              </w:rPr>
              <w:t>先完成铜仁移动等月结企业的报告生成闭环。</w:t>
            </w:r>
          </w:p>
        </w:tc>
        <w:tc>
          <w:tcPr>
            <w:tcW w:w="4560" w:type="dxa"/>
            <w:tcMar>
              <w:top w:w="80" w:type="dxa"/>
              <w:left w:w="120" w:type="dxa"/>
              <w:bottom w:w="80" w:type="dxa"/>
              <w:right w:w="120" w:type="dxa"/>
            </w:tcMar>
            <w:vAlign w:val="center"/>
          </w:tcPr>
          <w:p w14:paraId="66ABED04">
            <w:pPr>
              <w:jc w:val="left"/>
            </w:pPr>
            <w:r>
              <w:rPr>
                <w:rFonts w:ascii="微软雅黑" w:hAnsi="微软雅黑" w:eastAsia="微软雅黑"/>
              </w:rPr>
              <w:t>导出接口调用、Excel 合并、汇总计算、差异标记、人工确认清单。</w:t>
            </w:r>
          </w:p>
        </w:tc>
      </w:tr>
      <w:tr w14:paraId="2442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Mar>
              <w:top w:w="80" w:type="dxa"/>
              <w:left w:w="120" w:type="dxa"/>
              <w:bottom w:w="80" w:type="dxa"/>
              <w:right w:w="120" w:type="dxa"/>
            </w:tcMar>
            <w:vAlign w:val="center"/>
          </w:tcPr>
          <w:p w14:paraId="6DD1748F">
            <w:pPr>
              <w:jc w:val="left"/>
            </w:pPr>
            <w:r>
              <w:rPr>
                <w:rFonts w:ascii="微软雅黑" w:hAnsi="微软雅黑" w:eastAsia="微软雅黑"/>
              </w:rPr>
              <w:t>阶段 3：充值/消费扩展</w:t>
            </w:r>
          </w:p>
        </w:tc>
        <w:tc>
          <w:tcPr>
            <w:tcW w:w="3300" w:type="dxa"/>
            <w:tcMar>
              <w:top w:w="80" w:type="dxa"/>
              <w:left w:w="120" w:type="dxa"/>
              <w:bottom w:w="80" w:type="dxa"/>
              <w:right w:w="120" w:type="dxa"/>
            </w:tcMar>
            <w:vAlign w:val="center"/>
          </w:tcPr>
          <w:p w14:paraId="1F442A0B">
            <w:pPr>
              <w:jc w:val="left"/>
            </w:pPr>
            <w:r>
              <w:rPr>
                <w:rFonts w:ascii="微软雅黑" w:hAnsi="微软雅黑" w:eastAsia="微软雅黑"/>
              </w:rPr>
              <w:t>把充值导入、消费履约、配送状态纳入 Agent。</w:t>
            </w:r>
          </w:p>
        </w:tc>
        <w:tc>
          <w:tcPr>
            <w:tcW w:w="4560" w:type="dxa"/>
            <w:tcMar>
              <w:top w:w="80" w:type="dxa"/>
              <w:left w:w="120" w:type="dxa"/>
              <w:bottom w:w="80" w:type="dxa"/>
              <w:right w:w="120" w:type="dxa"/>
            </w:tcMar>
            <w:vAlign w:val="center"/>
          </w:tcPr>
          <w:p w14:paraId="2BB96DB6">
            <w:pPr>
              <w:jc w:val="left"/>
            </w:pPr>
            <w:r>
              <w:rPr>
                <w:rFonts w:ascii="微软雅黑" w:hAnsi="微软雅黑" w:eastAsia="微软雅黑"/>
              </w:rPr>
              <w:t>充值校验、分仓订单、供应商/物流状态查询。</w:t>
            </w:r>
          </w:p>
        </w:tc>
      </w:tr>
      <w:tr w14:paraId="349C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Mar>
              <w:top w:w="80" w:type="dxa"/>
              <w:left w:w="120" w:type="dxa"/>
              <w:bottom w:w="80" w:type="dxa"/>
              <w:right w:w="120" w:type="dxa"/>
            </w:tcMar>
            <w:vAlign w:val="center"/>
          </w:tcPr>
          <w:p w14:paraId="61A2C953">
            <w:pPr>
              <w:jc w:val="left"/>
            </w:pPr>
            <w:r>
              <w:rPr>
                <w:rFonts w:ascii="微软雅黑" w:hAnsi="微软雅黑" w:eastAsia="微软雅黑"/>
              </w:rPr>
              <w:t>阶段 4：治理与上线</w:t>
            </w:r>
          </w:p>
        </w:tc>
        <w:tc>
          <w:tcPr>
            <w:tcW w:w="3300" w:type="dxa"/>
            <w:tcMar>
              <w:top w:w="80" w:type="dxa"/>
              <w:left w:w="120" w:type="dxa"/>
              <w:bottom w:w="80" w:type="dxa"/>
              <w:right w:w="120" w:type="dxa"/>
            </w:tcMar>
            <w:vAlign w:val="center"/>
          </w:tcPr>
          <w:p w14:paraId="18DBF827">
            <w:pPr>
              <w:jc w:val="left"/>
            </w:pPr>
            <w:r>
              <w:rPr>
                <w:rFonts w:ascii="微软雅黑" w:hAnsi="微软雅黑" w:eastAsia="微软雅黑"/>
              </w:rPr>
              <w:t>支持多人使用，同时可审计、可限流、可回归测试。</w:t>
            </w:r>
          </w:p>
        </w:tc>
        <w:tc>
          <w:tcPr>
            <w:tcW w:w="4560" w:type="dxa"/>
            <w:tcMar>
              <w:top w:w="80" w:type="dxa"/>
              <w:left w:w="120" w:type="dxa"/>
              <w:bottom w:w="80" w:type="dxa"/>
              <w:right w:w="120" w:type="dxa"/>
            </w:tcMar>
            <w:vAlign w:val="center"/>
          </w:tcPr>
          <w:p w14:paraId="3F447E29">
            <w:pPr>
              <w:jc w:val="left"/>
            </w:pPr>
            <w:r>
              <w:rPr>
                <w:rFonts w:ascii="微软雅黑" w:hAnsi="微软雅黑" w:eastAsia="微软雅黑"/>
              </w:rPr>
              <w:t>中心 MCP、连接池、权限、trace 面板、评测集。</w:t>
            </w:r>
          </w:p>
        </w:tc>
      </w:tr>
    </w:tbl>
    <w:p w14:paraId="2FDFF0B8"/>
    <w:p w14:paraId="23FA5CF0">
      <w:pPr>
        <w:pStyle w:val="3"/>
      </w:pPr>
      <w:r>
        <w:rPr>
          <w:rFonts w:ascii="微软雅黑" w:hAnsi="微软雅黑" w:eastAsia="微软雅黑"/>
        </w:rPr>
        <w:t>8. 后续需要确认的信息</w:t>
      </w:r>
    </w:p>
    <w:p w14:paraId="69DE25AB">
      <w:pPr>
        <w:pStyle w:val="16"/>
      </w:pPr>
      <w:r>
        <w:rPr>
          <w:rFonts w:ascii="微软雅黑" w:hAnsi="微软雅黑" w:eastAsia="微软雅黑"/>
        </w:rPr>
        <w:t>结算表最终标准模板：客户侧希望看到的列、盖章版格式、开票字段。</w:t>
      </w:r>
    </w:p>
    <w:p w14:paraId="5DDB6FB4">
      <w:pPr>
        <w:pStyle w:val="16"/>
      </w:pPr>
      <w:r>
        <w:rPr>
          <w:rFonts w:ascii="微软雅黑" w:hAnsi="微软雅黑" w:eastAsia="微软雅黑"/>
        </w:rPr>
        <w:t>各导出接口真实参数：月份、企业渠道、订单状</w:t>
      </w:r>
      <w:bookmarkStart w:id="0" w:name="_GoBack"/>
      <w:bookmarkEnd w:id="0"/>
      <w:r>
        <w:rPr>
          <w:rFonts w:ascii="微软雅黑" w:hAnsi="微软雅黑" w:eastAsia="微软雅黑"/>
        </w:rPr>
        <w:t>态、是否已付款、是否排除逻辑删除。</w:t>
      </w:r>
    </w:p>
    <w:p w14:paraId="644BCF06">
      <w:pPr>
        <w:pStyle w:val="16"/>
      </w:pPr>
      <w:r>
        <w:rPr>
          <w:rFonts w:ascii="微软雅黑" w:hAnsi="微软雅黑" w:eastAsia="微软雅黑"/>
        </w:rPr>
        <w:t>运费账单和订单表的稳定关联字段：订单号、第三方订单号、运单号是否一一对应。</w:t>
      </w:r>
    </w:p>
    <w:p w14:paraId="1C96E07E">
      <w:pPr>
        <w:pStyle w:val="16"/>
      </w:pPr>
      <w:r>
        <w:rPr>
          <w:rFonts w:ascii="微软雅黑" w:hAnsi="微软雅黑" w:eastAsia="微软雅黑"/>
        </w:rPr>
        <w:t>商品编码补齐口径：海博编码、商品编码、SKU 编码分别来自哪些表和字段。</w:t>
      </w:r>
    </w:p>
    <w:p w14:paraId="70C9FAD7">
      <w:pPr>
        <w:pStyle w:val="16"/>
      </w:pPr>
      <w:r>
        <w:rPr>
          <w:rFonts w:ascii="微软雅黑" w:hAnsi="微软雅黑" w:eastAsia="微软雅黑"/>
        </w:rPr>
        <w:t>人工确认流程入口：是在 Agent 对话里确认，还是推到业务系统待办/审批。</w:t>
      </w:r>
    </w:p>
    <w:tbl>
      <w:tblPr>
        <w:tblStyle w:val="33"/>
        <w:tblW w:w="936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14:paraId="6EAC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0" w:type="dxa"/>
            <w:shd w:val="clear" w:color="auto" w:fill="F4F6F9"/>
            <w:tcMar>
              <w:top w:w="80" w:type="dxa"/>
              <w:left w:w="120" w:type="dxa"/>
              <w:bottom w:w="80" w:type="dxa"/>
              <w:right w:w="120" w:type="dxa"/>
            </w:tcMar>
            <w:vAlign w:val="center"/>
          </w:tcPr>
          <w:p w14:paraId="1C53D9F2">
            <w:r>
              <w:rPr>
                <w:rFonts w:ascii="微软雅黑" w:hAnsi="微软雅黑" w:eastAsia="微软雅黑"/>
                <w:b/>
                <w:color w:val="1F4D78"/>
              </w:rPr>
              <w:t>建议</w:t>
            </w:r>
          </w:p>
          <w:p w14:paraId="679F523D">
            <w:r>
              <w:rPr>
                <w:rFonts w:ascii="微软雅黑" w:hAnsi="微软雅黑" w:eastAsia="微软雅黑"/>
              </w:rPr>
              <w:t>下一步优先把“铜仁移动 2026 年 5 月结算”作为第一条端到端样例做穿：导出原始表、补齐商品字段、计算汇总、标记差异、生成 Excel 报告。等这条链路稳定，再复制到招商银行贵阳分行和中数未来。</w:t>
            </w:r>
          </w:p>
        </w:tc>
      </w:tr>
    </w:tbl>
    <w:p w14:paraId="08703DB2"/>
    <w:sectPr>
      <w:footerReference r:id="rId5" w:type="default"/>
      <w:pgSz w:w="12240" w:h="15840"/>
      <w:pgMar w:top="1440" w:right="1440" w:bottom="1440" w:left="1440"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B0F52">
    <w:pPr>
      <w:pStyle w:val="24"/>
      <w:jc w:val="right"/>
    </w:pPr>
    <w:r>
      <w:rPr>
        <w:rFonts w:ascii="微软雅黑" w:hAnsi="微软雅黑" w:eastAsia="微软雅黑"/>
        <w:color w:val="667085"/>
        <w:sz w:val="18"/>
      </w:rPr>
      <w:t>市民请集合智能助手 Agent 简版建设方案</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94B58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64" w:lineRule="auto"/>
    </w:pPr>
    <w:rPr>
      <w:rFonts w:ascii="Calibri" w:hAnsi="Calibri" w:eastAsia="微软雅黑" w:cstheme="minorBidi"/>
      <w:sz w:val="22"/>
      <w:szCs w:val="22"/>
      <w:lang w:val="en-US" w:eastAsia="en-US" w:bidi="ar-SA"/>
    </w:rPr>
  </w:style>
  <w:style w:type="paragraph" w:styleId="3">
    <w:name w:val="heading 1"/>
    <w:basedOn w:val="1"/>
    <w:next w:val="1"/>
    <w:link w:val="138"/>
    <w:qFormat/>
    <w:uiPriority w:val="9"/>
    <w:pPr>
      <w:keepNext/>
      <w:keepLines/>
      <w:spacing w:before="320" w:after="160"/>
      <w:outlineLvl w:val="0"/>
    </w:pPr>
    <w:rPr>
      <w:rFonts w:asciiTheme="majorHAnsi" w:hAnsiTheme="majorHAnsi" w:eastAsiaTheme="majorEastAsia" w:cstheme="majorBidi"/>
      <w:b/>
      <w:bCs/>
      <w:color w:val="2E74B5"/>
      <w:sz w:val="32"/>
      <w:szCs w:val="28"/>
    </w:rPr>
  </w:style>
  <w:style w:type="paragraph" w:styleId="4">
    <w:name w:val="heading 2"/>
    <w:basedOn w:val="1"/>
    <w:next w:val="1"/>
    <w:link w:val="139"/>
    <w:unhideWhenUsed/>
    <w:qFormat/>
    <w:uiPriority w:val="9"/>
    <w:pPr>
      <w:keepNext/>
      <w:keepLines/>
      <w:spacing w:before="240" w:after="120"/>
      <w:outlineLvl w:val="1"/>
    </w:pPr>
    <w:rPr>
      <w:rFonts w:asciiTheme="majorHAnsi" w:hAnsiTheme="majorHAnsi" w:eastAsiaTheme="majorEastAsia" w:cstheme="majorBidi"/>
      <w:b/>
      <w:bCs/>
      <w:color w:val="2E74B5"/>
      <w:sz w:val="26"/>
      <w:szCs w:val="26"/>
    </w:rPr>
  </w:style>
  <w:style w:type="paragraph" w:styleId="5">
    <w:name w:val="heading 3"/>
    <w:basedOn w:val="1"/>
    <w:next w:val="1"/>
    <w:link w:val="140"/>
    <w:unhideWhenUsed/>
    <w:qFormat/>
    <w:uiPriority w:val="9"/>
    <w:pPr>
      <w:keepNext/>
      <w:keepLines/>
      <w:spacing w:before="160" w:after="80"/>
      <w:outlineLvl w:val="2"/>
    </w:pPr>
    <w:rPr>
      <w:rFonts w:asciiTheme="majorHAnsi" w:hAnsiTheme="majorHAnsi" w:eastAsiaTheme="majorEastAsia" w:cstheme="majorBidi"/>
      <w:b/>
      <w:bCs/>
      <w:color w:val="1F4D78"/>
      <w:sz w:val="24"/>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spacing w:after="160" w:line="280" w:lineRule="auto"/>
      <w:contextualSpacing/>
    </w:pPr>
    <w:rPr>
      <w:rFonts w:ascii="Calibri" w:hAnsi="Calibri" w:eastAsia="微软雅黑"/>
      <w:sz w:val="22"/>
    </w:r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spacing w:after="160" w:line="280" w:lineRule="auto"/>
      <w:contextualSpacing/>
    </w:pPr>
    <w:rPr>
      <w:rFonts w:ascii="Calibri" w:hAnsi="Calibri" w:eastAsia="微软雅黑"/>
      <w:sz w:val="22"/>
    </w:r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pPr>
      <w:spacing w:after="280"/>
    </w:pPr>
    <w:rPr>
      <w:rFonts w:asciiTheme="majorHAnsi" w:hAnsiTheme="majorHAnsi" w:eastAsiaTheme="majorEastAsia" w:cstheme="majorBidi"/>
      <w:i/>
      <w:iCs/>
      <w:color w:val="667085"/>
      <w:spacing w:val="15"/>
      <w:sz w:val="22"/>
      <w:szCs w:val="24"/>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160" w:line="240" w:lineRule="auto"/>
      <w:contextualSpacing/>
    </w:pPr>
    <w:rPr>
      <w:rFonts w:asciiTheme="majorHAnsi" w:hAnsiTheme="majorHAnsi" w:eastAsiaTheme="majorEastAsia" w:cstheme="majorBidi"/>
      <w:b/>
      <w:color w:val="0B2545"/>
      <w:spacing w:val="5"/>
      <w:kern w:val="28"/>
      <w:sz w:val="44"/>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1731</Words>
  <Characters>1961</Characters>
  <Lines>0</Lines>
  <Paragraphs>0</Paragraphs>
  <TotalTime>1</TotalTime>
  <ScaleCrop>false</ScaleCrop>
  <LinksUpToDate>false</LinksUpToDate>
  <CharactersWithSpaces>2041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一路向北</cp:lastModifiedBy>
  <dcterms:modified xsi:type="dcterms:W3CDTF">2026-06-08T06:38:48Z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eyJoZGlkIjoiODI3OTNlYWU0YzZlYzIzOTczYTE5MjBhZGVlZDYxZTgiLCJ1c2VySWQiOiI2NjY1MDI2MTkifQ==</vt:lpwstr>
  </property>
  <property fmtid="{D5CDD505-2E9C-101B-9397-08002B2CF9AE}" pid="3" name="KSOProductBuildVer">
    <vt:lpwstr>2052-12.1.0.26895</vt:lpwstr>
  </property>
  <property fmtid="{D5CDD505-2E9C-101B-9397-08002B2CF9AE}" pid="4" name="ICV">
    <vt:lpwstr>0E89D9E97B2343C9A2596A935A56B763_12</vt:lpwstr>
  </property>
</Properties>
</file>